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ascii="宋体" w:hAnsi="宋体" w:eastAsia="宋体" w:cs="宋体"/>
          <w:color w:val="000000"/>
          <w:sz w:val="28"/>
          <w:szCs w:val="28"/>
          <w:highlight w:val="none"/>
        </w:rPr>
      </w:pPr>
      <w:bookmarkStart w:id="7" w:name="_GoBack"/>
      <w:bookmarkEnd w:id="7"/>
      <w:r>
        <w:rPr>
          <w:rFonts w:hint="eastAsia" w:ascii="宋体" w:hAnsi="宋体" w:eastAsia="宋体" w:cs="宋体"/>
          <w:color w:val="000000"/>
          <w:sz w:val="28"/>
          <w:szCs w:val="28"/>
          <w:highlight w:val="none"/>
        </w:rPr>
        <w:t>上海浦东国际机场</w:t>
      </w:r>
      <w:r>
        <w:rPr>
          <w:rFonts w:hint="eastAsia" w:ascii="宋体" w:hAnsi="宋体" w:eastAsia="宋体" w:cs="宋体"/>
          <w:color w:val="000000"/>
          <w:sz w:val="28"/>
          <w:szCs w:val="28"/>
          <w:highlight w:val="none"/>
          <w:lang w:val="en-US" w:eastAsia="zh-CN"/>
        </w:rPr>
        <w:t>交通中心展销</w:t>
      </w:r>
      <w:r>
        <w:rPr>
          <w:rFonts w:hint="eastAsia" w:ascii="宋体" w:hAnsi="宋体" w:eastAsia="宋体" w:cs="宋体"/>
          <w:color w:val="000000"/>
          <w:sz w:val="28"/>
          <w:szCs w:val="28"/>
          <w:highlight w:val="none"/>
        </w:rPr>
        <w:t>招商项目</w:t>
      </w:r>
    </w:p>
    <w:p>
      <w:pPr>
        <w:tabs>
          <w:tab w:val="left" w:pos="6100"/>
        </w:tabs>
        <w:snapToGrid w:val="0"/>
        <w:ind w:left="17" w:hanging="16" w:hangingChars="6"/>
        <w:jc w:val="center"/>
        <w:rPr>
          <w:rFonts w:ascii="宋体" w:hAnsi="宋体" w:eastAsia="宋体" w:cs="宋体"/>
          <w:color w:val="000000"/>
          <w:sz w:val="28"/>
          <w:szCs w:val="28"/>
          <w:highlight w:val="none"/>
        </w:rPr>
      </w:pPr>
      <w:r>
        <w:rPr>
          <w:rFonts w:hint="eastAsia" w:ascii="宋体" w:hAnsi="宋体" w:eastAsia="宋体" w:cs="宋体"/>
          <w:color w:val="000000"/>
          <w:sz w:val="28"/>
          <w:szCs w:val="28"/>
          <w:highlight w:val="none"/>
        </w:rPr>
        <w:t>招标公告</w:t>
      </w:r>
    </w:p>
    <w:p>
      <w:pPr>
        <w:tabs>
          <w:tab w:val="left" w:pos="6100"/>
        </w:tabs>
        <w:snapToGrid w:val="0"/>
        <w:ind w:left="17" w:hanging="16" w:hangingChars="6"/>
        <w:jc w:val="center"/>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（招标编号：</w:t>
      </w:r>
      <w:r>
        <w:rPr>
          <w:rFonts w:hint="eastAsia" w:ascii="宋体" w:hAnsi="宋体" w:eastAsia="宋体" w:cs="宋体"/>
          <w:color w:val="000000"/>
          <w:sz w:val="28"/>
          <w:szCs w:val="28"/>
          <w:highlight w:val="none"/>
          <w:lang w:val="en-US" w:eastAsia="zh-CN"/>
        </w:rPr>
        <w:t>SPIAIE-ZBN-23209</w:t>
      </w:r>
      <w:r>
        <w:rPr>
          <w:rFonts w:hint="eastAsia" w:ascii="宋体" w:hAnsi="宋体" w:eastAsia="宋体" w:cs="宋体"/>
          <w:color w:val="000000"/>
          <w:sz w:val="28"/>
          <w:szCs w:val="28"/>
          <w:highlight w:val="none"/>
        </w:rPr>
        <w:t>）</w:t>
      </w:r>
    </w:p>
    <w:p>
      <w:pPr>
        <w:snapToGrid w:val="0"/>
        <w:jc w:val="both"/>
        <w:rPr>
          <w:rFonts w:eastAsia="黑体"/>
          <w:color w:val="000000"/>
          <w:sz w:val="24"/>
          <w:szCs w:val="24"/>
          <w:highlight w:val="none"/>
        </w:rPr>
      </w:pPr>
    </w:p>
    <w:p>
      <w:pPr>
        <w:snapToGrid w:val="0"/>
        <w:jc w:val="both"/>
        <w:rPr>
          <w:color w:val="000000"/>
          <w:sz w:val="24"/>
          <w:szCs w:val="24"/>
          <w:highlight w:val="none"/>
        </w:rPr>
      </w:pPr>
      <w:bookmarkStart w:id="0" w:name="_Toc486336371"/>
      <w:r>
        <w:rPr>
          <w:color w:val="000000"/>
          <w:sz w:val="24"/>
          <w:szCs w:val="24"/>
          <w:highlight w:val="none"/>
        </w:rPr>
        <w:t>1. 招标条件</w:t>
      </w:r>
      <w:bookmarkEnd w:id="0"/>
    </w:p>
    <w:p>
      <w:pPr>
        <w:snapToGrid w:val="0"/>
        <w:ind w:firstLine="480" w:firstLineChars="200"/>
        <w:jc w:val="both"/>
        <w:rPr>
          <w:color w:val="000000"/>
          <w:sz w:val="24"/>
          <w:szCs w:val="24"/>
          <w:highlight w:val="none"/>
        </w:rPr>
      </w:pPr>
      <w:r>
        <w:rPr>
          <w:color w:val="000000"/>
          <w:sz w:val="24"/>
          <w:szCs w:val="24"/>
          <w:highlight w:val="none"/>
        </w:rPr>
        <w:t>本招标项目</w:t>
      </w:r>
      <w:r>
        <w:rPr>
          <w:rFonts w:hint="eastAsia"/>
          <w:color w:val="000000"/>
          <w:sz w:val="24"/>
          <w:szCs w:val="24"/>
          <w:highlight w:val="none"/>
        </w:rPr>
        <w:t>的</w:t>
      </w:r>
      <w:r>
        <w:rPr>
          <w:color w:val="000000"/>
          <w:sz w:val="24"/>
          <w:szCs w:val="24"/>
          <w:highlight w:val="none"/>
        </w:rPr>
        <w:t>招标人为</w:t>
      </w:r>
      <w:r>
        <w:rPr>
          <w:rFonts w:hint="eastAsia"/>
          <w:color w:val="000000"/>
          <w:sz w:val="24"/>
          <w:szCs w:val="24"/>
          <w:highlight w:val="none"/>
        </w:rPr>
        <w:t>上海国际机场股份有限公司。该</w:t>
      </w:r>
      <w:r>
        <w:rPr>
          <w:color w:val="000000"/>
          <w:sz w:val="24"/>
          <w:szCs w:val="24"/>
          <w:highlight w:val="none"/>
        </w:rPr>
        <w:t>项目已具备招标条件，现进行</w:t>
      </w:r>
      <w:r>
        <w:rPr>
          <w:rFonts w:hint="eastAsia"/>
          <w:color w:val="000000"/>
          <w:sz w:val="24"/>
          <w:szCs w:val="24"/>
          <w:highlight w:val="none"/>
        </w:rPr>
        <w:t>国内</w:t>
      </w:r>
      <w:r>
        <w:rPr>
          <w:color w:val="000000"/>
          <w:sz w:val="24"/>
          <w:szCs w:val="24"/>
          <w:highlight w:val="none"/>
        </w:rPr>
        <w:t>公开招标。本</w:t>
      </w:r>
      <w:r>
        <w:rPr>
          <w:rFonts w:hint="eastAsia"/>
          <w:color w:val="000000"/>
          <w:sz w:val="24"/>
          <w:szCs w:val="24"/>
          <w:highlight w:val="none"/>
        </w:rPr>
        <w:t>次招标</w:t>
      </w:r>
      <w:r>
        <w:rPr>
          <w:color w:val="000000"/>
          <w:sz w:val="24"/>
          <w:szCs w:val="24"/>
          <w:highlight w:val="none"/>
        </w:rPr>
        <w:t>不接受联合体投标。</w:t>
      </w:r>
    </w:p>
    <w:p>
      <w:pPr>
        <w:numPr>
          <w:ilvl w:val="0"/>
          <w:numId w:val="1"/>
        </w:numPr>
        <w:snapToGrid w:val="0"/>
        <w:jc w:val="both"/>
        <w:rPr>
          <w:color w:val="000000"/>
          <w:sz w:val="24"/>
          <w:szCs w:val="24"/>
          <w:highlight w:val="none"/>
        </w:rPr>
      </w:pPr>
      <w:bookmarkStart w:id="1" w:name="_Toc486336372"/>
      <w:r>
        <w:rPr>
          <w:color w:val="000000"/>
          <w:sz w:val="24"/>
          <w:szCs w:val="24"/>
          <w:highlight w:val="none"/>
        </w:rPr>
        <w:t>招标</w:t>
      </w:r>
      <w:r>
        <w:rPr>
          <w:rFonts w:hint="eastAsia"/>
          <w:color w:val="000000"/>
          <w:sz w:val="24"/>
          <w:szCs w:val="24"/>
          <w:highlight w:val="none"/>
        </w:rPr>
        <w:t>范围</w:t>
      </w:r>
      <w:bookmarkEnd w:id="1"/>
    </w:p>
    <w:p>
      <w:pPr>
        <w:snapToGrid w:val="0"/>
        <w:ind w:firstLine="480" w:firstLineChars="200"/>
        <w:jc w:val="both"/>
        <w:rPr>
          <w:rFonts w:hint="eastAsia"/>
          <w:color w:val="000000"/>
          <w:sz w:val="24"/>
          <w:szCs w:val="24"/>
          <w:highlight w:val="none"/>
          <w:lang w:eastAsia="zh-CN"/>
        </w:rPr>
      </w:pPr>
      <w:r>
        <w:rPr>
          <w:rFonts w:hint="eastAsia" w:ascii="宋体" w:hAnsi="宋体" w:cs="宋体"/>
          <w:bCs/>
          <w:color w:val="000000"/>
          <w:sz w:val="24"/>
          <w:szCs w:val="24"/>
          <w:highlight w:val="none"/>
        </w:rPr>
        <w:t>本次招标</w:t>
      </w:r>
      <w:r>
        <w:rPr>
          <w:rFonts w:hint="eastAsia" w:ascii="宋体" w:hAnsi="宋体" w:cs="宋体"/>
          <w:bCs/>
          <w:color w:val="000000"/>
          <w:sz w:val="24"/>
          <w:highlight w:val="none"/>
        </w:rPr>
        <w:t>的上海浦东国际机场</w:t>
      </w:r>
      <w:r>
        <w:rPr>
          <w:rFonts w:hint="eastAsia" w:ascii="宋体" w:hAnsi="宋体" w:cs="宋体"/>
          <w:bCs/>
          <w:color w:val="000000"/>
          <w:sz w:val="24"/>
          <w:highlight w:val="none"/>
          <w:lang w:val="en-US" w:eastAsia="zh-CN"/>
        </w:rPr>
        <w:t>交通中心展销</w:t>
      </w:r>
      <w:r>
        <w:rPr>
          <w:rFonts w:hint="eastAsia" w:ascii="宋体" w:hAnsi="宋体" w:cs="宋体"/>
          <w:bCs/>
          <w:color w:val="000000"/>
          <w:sz w:val="24"/>
          <w:highlight w:val="none"/>
        </w:rPr>
        <w:t>招商项目，</w:t>
      </w:r>
      <w:r>
        <w:rPr>
          <w:rFonts w:hint="eastAsia"/>
          <w:color w:val="000000"/>
          <w:sz w:val="24"/>
          <w:szCs w:val="24"/>
          <w:highlight w:val="none"/>
        </w:rPr>
        <w:t>地处</w:t>
      </w:r>
      <w:r>
        <w:rPr>
          <w:rFonts w:hint="eastAsia" w:ascii="Times New Roman" w:eastAsia="宋体"/>
          <w:color w:val="000000"/>
          <w:sz w:val="24"/>
          <w:szCs w:val="24"/>
          <w:highlight w:val="none"/>
          <w:lang w:val="en-US" w:eastAsia="zh-CN"/>
        </w:rPr>
        <w:t>于</w:t>
      </w:r>
      <w:r>
        <w:rPr>
          <w:rFonts w:hint="eastAsia"/>
          <w:color w:val="000000"/>
          <w:sz w:val="24"/>
          <w:szCs w:val="24"/>
          <w:highlight w:val="none"/>
        </w:rPr>
        <w:t>浦东国际机场</w:t>
      </w:r>
      <w:r>
        <w:rPr>
          <w:rFonts w:hint="eastAsia" w:ascii="Times New Roman" w:eastAsia="宋体"/>
          <w:color w:val="000000"/>
          <w:sz w:val="24"/>
          <w:szCs w:val="24"/>
          <w:highlight w:val="none"/>
          <w:lang w:val="en-US" w:eastAsia="zh-CN"/>
        </w:rPr>
        <w:t>交通中心五洲南路区域</w:t>
      </w:r>
      <w:r>
        <w:rPr>
          <w:rFonts w:hint="eastAsia"/>
          <w:color w:val="000000"/>
          <w:sz w:val="24"/>
          <w:szCs w:val="24"/>
          <w:highlight w:val="none"/>
        </w:rPr>
        <w:t>，共</w:t>
      </w:r>
      <w:r>
        <w:rPr>
          <w:rFonts w:hint="eastAsia" w:ascii="Times New Roman" w:eastAsia="宋体"/>
          <w:color w:val="000000"/>
          <w:sz w:val="24"/>
          <w:szCs w:val="24"/>
          <w:highlight w:val="none"/>
          <w:lang w:val="en-US" w:eastAsia="zh-CN"/>
        </w:rPr>
        <w:t>1个模块（须自行搭建、消防报审）</w:t>
      </w:r>
      <w:r>
        <w:rPr>
          <w:rFonts w:hint="eastAsia"/>
          <w:color w:val="000000"/>
          <w:sz w:val="24"/>
          <w:szCs w:val="24"/>
          <w:highlight w:val="none"/>
        </w:rPr>
        <w:t>，共设</w:t>
      </w:r>
      <w:r>
        <w:rPr>
          <w:rFonts w:hint="eastAsia" w:ascii="Times New Roman" w:eastAsia="宋体"/>
          <w:color w:val="000000"/>
          <w:sz w:val="24"/>
          <w:szCs w:val="24"/>
          <w:highlight w:val="none"/>
          <w:lang w:val="en-US" w:eastAsia="zh-CN"/>
        </w:rPr>
        <w:t>1</w:t>
      </w:r>
      <w:r>
        <w:rPr>
          <w:rFonts w:hint="eastAsia"/>
          <w:color w:val="000000"/>
          <w:sz w:val="24"/>
          <w:szCs w:val="24"/>
          <w:highlight w:val="none"/>
        </w:rPr>
        <w:t>个标段</w:t>
      </w:r>
      <w:r>
        <w:rPr>
          <w:rFonts w:hint="eastAsia" w:eastAsia="宋体"/>
          <w:color w:val="000000"/>
          <w:sz w:val="24"/>
          <w:szCs w:val="24"/>
          <w:highlight w:val="none"/>
          <w:lang w:eastAsia="zh-CN"/>
        </w:rPr>
        <w:t>，</w:t>
      </w:r>
      <w:r>
        <w:rPr>
          <w:rFonts w:hint="eastAsia" w:ascii="Times New Roman" w:eastAsia="宋体"/>
          <w:color w:val="000000"/>
          <w:sz w:val="24"/>
          <w:szCs w:val="24"/>
          <w:highlight w:val="none"/>
          <w:lang w:val="en-US" w:eastAsia="zh-CN"/>
        </w:rPr>
        <w:t>场地面积约500㎡（场地面积以实测为准，两侧过道部分面积不纳入场地面积）</w:t>
      </w:r>
      <w:r>
        <w:rPr>
          <w:rFonts w:hint="eastAsia" w:ascii="宋体" w:hAnsi="宋体" w:cs="宋体"/>
          <w:color w:val="000000"/>
          <w:sz w:val="24"/>
          <w:highlight w:val="none"/>
        </w:rPr>
        <w:t>。</w:t>
      </w:r>
      <w:r>
        <w:rPr>
          <w:rFonts w:hint="eastAsia"/>
          <w:color w:val="000000"/>
          <w:sz w:val="24"/>
          <w:szCs w:val="24"/>
          <w:highlight w:val="none"/>
        </w:rPr>
        <w:t>经营权转让期基础年限为自场地移交之日起</w:t>
      </w:r>
      <w:r>
        <w:rPr>
          <w:rFonts w:hint="eastAsia" w:ascii="Times New Roman" w:eastAsia="宋体"/>
          <w:color w:val="000000"/>
          <w:sz w:val="24"/>
          <w:szCs w:val="24"/>
          <w:highlight w:val="none"/>
          <w:lang w:val="en-US" w:eastAsia="zh-CN"/>
        </w:rPr>
        <w:t>五</w:t>
      </w:r>
      <w:r>
        <w:rPr>
          <w:rFonts w:hint="eastAsia"/>
          <w:color w:val="000000"/>
          <w:sz w:val="24"/>
          <w:szCs w:val="24"/>
          <w:highlight w:val="none"/>
        </w:rPr>
        <w:t>年</w:t>
      </w:r>
      <w:r>
        <w:rPr>
          <w:rFonts w:hint="eastAsia" w:eastAsia="宋体"/>
          <w:color w:val="000000"/>
          <w:sz w:val="24"/>
          <w:szCs w:val="24"/>
          <w:highlight w:val="none"/>
          <w:lang w:eastAsia="zh-CN"/>
        </w:rPr>
        <w:t>。</w:t>
      </w:r>
    </w:p>
    <w:p>
      <w:pPr>
        <w:widowControl w:val="0"/>
        <w:snapToGrid w:val="0"/>
        <w:jc w:val="both"/>
        <w:rPr>
          <w:color w:val="000000"/>
          <w:sz w:val="24"/>
          <w:szCs w:val="24"/>
          <w:highlight w:val="none"/>
        </w:rPr>
      </w:pPr>
      <w:bookmarkStart w:id="2" w:name="_Toc486336373"/>
      <w:r>
        <w:rPr>
          <w:color w:val="000000"/>
          <w:sz w:val="24"/>
          <w:szCs w:val="24"/>
          <w:highlight w:val="none"/>
        </w:rPr>
        <w:t>3. 投标人资格</w:t>
      </w:r>
      <w:bookmarkEnd w:id="2"/>
      <w:r>
        <w:rPr>
          <w:rFonts w:hint="eastAsia"/>
          <w:color w:val="000000"/>
          <w:sz w:val="24"/>
          <w:szCs w:val="24"/>
          <w:highlight w:val="none"/>
        </w:rPr>
        <w:t>能力条件</w:t>
      </w:r>
    </w:p>
    <w:p>
      <w:pPr>
        <w:widowControl w:val="0"/>
        <w:snapToGrid w:val="0"/>
        <w:jc w:val="both"/>
        <w:rPr>
          <w:rFonts w:ascii="宋体" w:hAnsi="宋体" w:eastAsia="宋体" w:cs="宋体"/>
          <w:color w:val="000000"/>
          <w:kern w:val="2"/>
          <w:sz w:val="24"/>
          <w:szCs w:val="24"/>
          <w:highlight w:val="none"/>
          <w:lang w:val="en-US" w:eastAsia="zh-CN" w:bidi="ar-SA"/>
        </w:rPr>
      </w:pPr>
      <w:bookmarkStart w:id="3" w:name="_Toc486336374"/>
      <w:r>
        <w:rPr>
          <w:rFonts w:hint="eastAsia" w:ascii="Times New Roman" w:hAnsi="Times New Roman" w:eastAsia="宋体" w:cs="Times New Roman"/>
          <w:color w:val="000000"/>
          <w:kern w:val="0"/>
          <w:sz w:val="24"/>
          <w:szCs w:val="24"/>
          <w:highlight w:val="none"/>
          <w:lang w:val="en-US" w:eastAsia="zh-CN" w:bidi="ar-SA"/>
        </w:rPr>
        <w:t>3</w:t>
      </w:r>
      <w:r>
        <w:rPr>
          <w:rFonts w:hint="eastAsia" w:ascii="Times New Roman" w:hAnsi="Times New Roman" w:eastAsia="Times New Roman" w:cs="Times New Roman"/>
          <w:color w:val="000000"/>
          <w:kern w:val="0"/>
          <w:sz w:val="24"/>
          <w:szCs w:val="24"/>
          <w:highlight w:val="none"/>
          <w:lang w:val="en-US" w:eastAsia="zh-CN" w:bidi="ar-SA"/>
        </w:rPr>
        <w:t xml:space="preserve">.1 </w:t>
      </w:r>
      <w:r>
        <w:rPr>
          <w:rFonts w:hint="eastAsia" w:ascii="Times New Roman" w:hAnsi="Times New Roman" w:eastAsia="宋体" w:cs="Times New Roman"/>
          <w:color w:val="000000"/>
          <w:kern w:val="0"/>
          <w:sz w:val="24"/>
          <w:szCs w:val="24"/>
          <w:highlight w:val="none"/>
          <w:lang w:val="en-US" w:eastAsia="zh-CN" w:bidi="ar-SA"/>
        </w:rPr>
        <w:t>根据本招标项目的特点和需要，投标文件应证明</w:t>
      </w:r>
      <w:r>
        <w:rPr>
          <w:rFonts w:hint="eastAsia" w:ascii="宋体" w:hAnsi="宋体" w:eastAsia="宋体" w:cs="宋体"/>
          <w:color w:val="000000"/>
          <w:kern w:val="2"/>
          <w:sz w:val="24"/>
          <w:szCs w:val="24"/>
          <w:highlight w:val="none"/>
          <w:lang w:val="en-US" w:eastAsia="zh-CN" w:bidi="ar-SA"/>
        </w:rPr>
        <w:t>投标人具备资格要求如下：</w:t>
      </w:r>
    </w:p>
    <w:p>
      <w:pPr>
        <w:widowControl w:val="0"/>
        <w:numPr>
          <w:ilvl w:val="0"/>
          <w:numId w:val="2"/>
        </w:numPr>
        <w:snapToGrid w:val="0"/>
        <w:ind w:left="425" w:hanging="425"/>
        <w:jc w:val="both"/>
        <w:rPr>
          <w:rFonts w:ascii="Times New Roman" w:hAnsi="Times New Roman" w:eastAsia="宋体" w:cs="Times New Roman"/>
          <w:color w:val="000000"/>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投标人在中华人民共和国境内依法注册（不包括中国港澳台地区），提交有效营业执照复印件（非企业性单位提供相应的有效登记证书复印件）。</w:t>
      </w:r>
    </w:p>
    <w:p>
      <w:pPr>
        <w:widowControl w:val="0"/>
        <w:numPr>
          <w:ilvl w:val="0"/>
          <w:numId w:val="2"/>
        </w:numPr>
        <w:snapToGrid w:val="0"/>
        <w:ind w:left="425" w:hanging="425"/>
        <w:jc w:val="both"/>
        <w:rPr>
          <w:rFonts w:ascii="Times New Roman" w:hAnsi="Times New Roman" w:eastAsia="宋体" w:cs="Times New Roman"/>
          <w:strike w:val="0"/>
          <w:color w:val="000000"/>
          <w:kern w:val="0"/>
          <w:sz w:val="24"/>
          <w:szCs w:val="24"/>
          <w:highlight w:val="none"/>
          <w:lang w:val="en-US" w:eastAsia="zh-CN" w:bidi="ar-SA"/>
        </w:rPr>
      </w:pPr>
      <w:r>
        <w:rPr>
          <w:rFonts w:hint="eastAsia" w:ascii="Times New Roman" w:hAnsi="Times New Roman" w:eastAsia="宋体" w:cs="Times New Roman"/>
          <w:strike w:val="0"/>
          <w:color w:val="000000"/>
          <w:kern w:val="0"/>
          <w:sz w:val="24"/>
          <w:szCs w:val="24"/>
          <w:highlight w:val="none"/>
          <w:lang w:val="en-US" w:eastAsia="zh-CN" w:bidi="ar-SA"/>
        </w:rPr>
        <w:t>投标人须提交拟引入商品的有效授权文件、合作意向书、</w:t>
      </w:r>
      <w:r>
        <w:rPr>
          <w:rFonts w:hint="eastAsia" w:ascii="Times New Roman" w:hAnsi="Times New Roman" w:eastAsia="宋体" w:cs="Times New Roman"/>
          <w:color w:val="000000"/>
          <w:kern w:val="0"/>
          <w:sz w:val="24"/>
          <w:szCs w:val="24"/>
          <w:highlight w:val="none"/>
          <w:lang w:val="en-US" w:eastAsia="zh-CN" w:bidi="ar-SA"/>
        </w:rPr>
        <w:t>分销协议</w:t>
      </w:r>
      <w:r>
        <w:rPr>
          <w:rFonts w:hint="eastAsia" w:ascii="Times New Roman" w:hAnsi="Times New Roman" w:eastAsia="宋体" w:cs="Times New Roman"/>
          <w:strike w:val="0"/>
          <w:color w:val="000000"/>
          <w:kern w:val="0"/>
          <w:sz w:val="24"/>
          <w:szCs w:val="24"/>
          <w:highlight w:val="none"/>
          <w:lang w:val="en-US" w:eastAsia="zh-CN" w:bidi="ar-SA"/>
        </w:rPr>
        <w:t>等证明文件。</w:t>
      </w:r>
    </w:p>
    <w:p>
      <w:pPr>
        <w:widowControl w:val="0"/>
        <w:numPr>
          <w:ilvl w:val="0"/>
          <w:numId w:val="2"/>
        </w:numPr>
        <w:snapToGrid w:val="0"/>
        <w:ind w:left="425" w:hanging="425"/>
        <w:jc w:val="both"/>
        <w:rPr>
          <w:rFonts w:hint="eastAsia" w:ascii="Times New Roman" w:hAnsi="Times New Roman" w:eastAsia="宋体" w:cs="Times New Roman"/>
          <w:color w:val="000000"/>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投标人须具有在上海大型交通枢纽（机场、火车站等）从事展销经营的业绩（经营合同期限不少于3年、规模不小于500平米），并提供合同等可证明以上业绩的相关材料。</w:t>
      </w:r>
    </w:p>
    <w:p>
      <w:pPr>
        <w:widowControl w:val="0"/>
        <w:numPr>
          <w:ilvl w:val="0"/>
          <w:numId w:val="2"/>
        </w:numPr>
        <w:snapToGrid w:val="0"/>
        <w:ind w:left="425" w:hanging="425"/>
        <w:jc w:val="both"/>
        <w:rPr>
          <w:rFonts w:ascii="Times New Roman" w:hAnsi="Times New Roman" w:eastAsia="宋体" w:cs="Times New Roman"/>
          <w:color w:val="000000"/>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投标人须提供满足本项目经营范围要求（即</w:t>
      </w:r>
      <w:r>
        <w:rPr>
          <w:rFonts w:hint="eastAsia" w:ascii="Times New Roman" w:hAnsi="Times New Roman" w:eastAsia="宋体" w:cs="Times New Roman"/>
          <w:b w:val="0"/>
          <w:bCs w:val="0"/>
          <w:color w:val="000000"/>
          <w:kern w:val="0"/>
          <w:sz w:val="24"/>
          <w:szCs w:val="24"/>
          <w:highlight w:val="none"/>
          <w:lang w:val="en-US" w:eastAsia="zh-CN" w:bidi="ar-SA"/>
        </w:rPr>
        <w:t>拟引入的展销商品以进口为主，其中，预包装食品须为进口食品</w:t>
      </w:r>
      <w:r>
        <w:rPr>
          <w:rFonts w:hint="eastAsia" w:ascii="Times New Roman" w:hAnsi="Times New Roman" w:eastAsia="宋体" w:cs="Times New Roman"/>
          <w:color w:val="000000"/>
          <w:kern w:val="0"/>
          <w:sz w:val="24"/>
          <w:szCs w:val="24"/>
          <w:highlight w:val="none"/>
          <w:lang w:val="en-US" w:eastAsia="zh-CN" w:bidi="ar-SA"/>
        </w:rPr>
        <w:t>）及机场运营服务、安全等运营要求的承诺函，并承诺在合同期内持续有效，承诺书格式自拟。</w:t>
      </w:r>
    </w:p>
    <w:p>
      <w:pPr>
        <w:widowControl w:val="0"/>
        <w:numPr>
          <w:ilvl w:val="0"/>
          <w:numId w:val="2"/>
        </w:numPr>
        <w:snapToGrid w:val="0"/>
        <w:ind w:left="425" w:hanging="425"/>
        <w:jc w:val="both"/>
        <w:rPr>
          <w:rFonts w:ascii="Times New Roman" w:hAnsi="Times New Roman" w:eastAsia="宋体" w:cs="Times New Roman"/>
          <w:color w:val="000000"/>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投标人须提供承诺函，</w:t>
      </w:r>
      <w:r>
        <w:rPr>
          <w:rFonts w:hint="eastAsia" w:ascii="Times New Roman" w:hAnsi="Times New Roman" w:eastAsia="宋体" w:cs="Times New Roman"/>
          <w:b w:val="0"/>
          <w:bCs w:val="0"/>
          <w:color w:val="000000"/>
          <w:kern w:val="0"/>
          <w:sz w:val="24"/>
          <w:szCs w:val="24"/>
          <w:highlight w:val="none"/>
          <w:lang w:val="en-US" w:eastAsia="zh-CN" w:bidi="ar-SA"/>
        </w:rPr>
        <w:t>将根据招标人规划自行进行项目报建消防审批等政府行政审批，并承诺承担因此可能发生的所有费用；若政府行政审批不通过的，自行放弃追究招标人任何责任。</w:t>
      </w:r>
    </w:p>
    <w:p>
      <w:pPr>
        <w:widowControl w:val="0"/>
        <w:snapToGrid w:val="0"/>
        <w:jc w:val="both"/>
        <w:rPr>
          <w:color w:val="000000"/>
          <w:sz w:val="24"/>
          <w:szCs w:val="24"/>
          <w:highlight w:val="none"/>
        </w:rPr>
      </w:pPr>
      <w:r>
        <w:rPr>
          <w:rFonts w:hint="eastAsia"/>
          <w:color w:val="000000"/>
          <w:sz w:val="24"/>
          <w:szCs w:val="24"/>
          <w:highlight w:val="none"/>
        </w:rPr>
        <w:t>3</w:t>
      </w:r>
      <w:r>
        <w:rPr>
          <w:rFonts w:eastAsia="Times New Roman"/>
          <w:color w:val="000000"/>
          <w:sz w:val="24"/>
          <w:szCs w:val="24"/>
          <w:highlight w:val="none"/>
        </w:rPr>
        <w:t>.</w:t>
      </w:r>
      <w:r>
        <w:rPr>
          <w:rFonts w:hint="eastAsia"/>
          <w:color w:val="000000"/>
          <w:sz w:val="24"/>
          <w:szCs w:val="24"/>
          <w:highlight w:val="none"/>
        </w:rPr>
        <w:t>2</w:t>
      </w:r>
      <w:r>
        <w:rPr>
          <w:rFonts w:eastAsia="Times New Roman"/>
          <w:color w:val="000000"/>
          <w:sz w:val="24"/>
          <w:szCs w:val="24"/>
          <w:highlight w:val="none"/>
        </w:rPr>
        <w:t xml:space="preserve"> </w:t>
      </w:r>
      <w:r>
        <w:rPr>
          <w:rFonts w:ascii="宋体" w:hAnsi="宋体" w:cs="宋体"/>
          <w:color w:val="000000"/>
          <w:sz w:val="24"/>
          <w:szCs w:val="24"/>
          <w:highlight w:val="none"/>
        </w:rPr>
        <w:t>投标人不得存在下列情形之一：</w:t>
      </w:r>
    </w:p>
    <w:p>
      <w:pPr>
        <w:widowControl w:val="0"/>
        <w:numPr>
          <w:ilvl w:val="0"/>
          <w:numId w:val="3"/>
        </w:numPr>
        <w:snapToGrid w:val="0"/>
        <w:ind w:left="425" w:hanging="425"/>
        <w:jc w:val="both"/>
        <w:rPr>
          <w:color w:val="000000"/>
          <w:sz w:val="24"/>
          <w:szCs w:val="24"/>
          <w:highlight w:val="none"/>
        </w:rPr>
      </w:pPr>
      <w:r>
        <w:rPr>
          <w:rFonts w:ascii="宋体" w:hAnsi="宋体" w:cs="宋体"/>
          <w:color w:val="000000"/>
          <w:sz w:val="24"/>
          <w:szCs w:val="24"/>
          <w:highlight w:val="none"/>
        </w:rPr>
        <w:t>与招标人存在利害关系且可能影响招标公正性；</w:t>
      </w:r>
    </w:p>
    <w:p>
      <w:pPr>
        <w:widowControl w:val="0"/>
        <w:numPr>
          <w:ilvl w:val="0"/>
          <w:numId w:val="3"/>
        </w:numPr>
        <w:snapToGrid w:val="0"/>
        <w:ind w:left="425" w:hanging="425"/>
        <w:jc w:val="both"/>
        <w:rPr>
          <w:color w:val="000000"/>
          <w:sz w:val="24"/>
          <w:szCs w:val="24"/>
          <w:highlight w:val="none"/>
        </w:rPr>
      </w:pPr>
      <w:r>
        <w:rPr>
          <w:rFonts w:ascii="宋体" w:hAnsi="宋体" w:cs="宋体"/>
          <w:color w:val="000000"/>
          <w:sz w:val="24"/>
          <w:szCs w:val="24"/>
          <w:highlight w:val="none"/>
        </w:rPr>
        <w:t>与本招标项目</w:t>
      </w:r>
      <w:r>
        <w:rPr>
          <w:rFonts w:hint="eastAsia" w:ascii="宋体" w:hAnsi="宋体" w:cs="宋体"/>
          <w:color w:val="000000"/>
          <w:sz w:val="24"/>
          <w:szCs w:val="24"/>
          <w:highlight w:val="none"/>
        </w:rPr>
        <w:t>同一标段</w:t>
      </w:r>
      <w:r>
        <w:rPr>
          <w:rFonts w:ascii="宋体" w:hAnsi="宋体" w:cs="宋体"/>
          <w:color w:val="000000"/>
          <w:sz w:val="24"/>
          <w:szCs w:val="24"/>
          <w:highlight w:val="none"/>
        </w:rPr>
        <w:t>的其他投标人为同一个单位负责人</w:t>
      </w:r>
      <w:r>
        <w:rPr>
          <w:rFonts w:hint="eastAsia" w:ascii="宋体" w:hAnsi="宋体" w:cs="宋体"/>
          <w:color w:val="000000"/>
          <w:sz w:val="24"/>
          <w:szCs w:val="24"/>
          <w:highlight w:val="none"/>
        </w:rPr>
        <w:t>（“单位负责人”是指法人单位的法定代表人，或者非法人单位的负责人，以有效营业执照或登记证书上载明的为准。）</w:t>
      </w:r>
      <w:r>
        <w:rPr>
          <w:rFonts w:ascii="宋体" w:hAnsi="宋体" w:cs="宋体"/>
          <w:color w:val="000000"/>
          <w:sz w:val="24"/>
          <w:szCs w:val="24"/>
          <w:highlight w:val="none"/>
        </w:rPr>
        <w:t>；</w:t>
      </w:r>
    </w:p>
    <w:p>
      <w:pPr>
        <w:widowControl w:val="0"/>
        <w:numPr>
          <w:ilvl w:val="0"/>
          <w:numId w:val="3"/>
        </w:numPr>
        <w:snapToGrid w:val="0"/>
        <w:ind w:left="425" w:hanging="425"/>
        <w:jc w:val="both"/>
        <w:rPr>
          <w:color w:val="000000"/>
          <w:sz w:val="24"/>
          <w:szCs w:val="24"/>
          <w:highlight w:val="none"/>
        </w:rPr>
      </w:pPr>
      <w:r>
        <w:rPr>
          <w:rFonts w:ascii="宋体" w:hAnsi="宋体" w:cs="宋体"/>
          <w:color w:val="000000"/>
          <w:sz w:val="24"/>
          <w:szCs w:val="24"/>
          <w:highlight w:val="none"/>
        </w:rPr>
        <w:t>与本招标项目</w:t>
      </w:r>
      <w:r>
        <w:rPr>
          <w:rFonts w:hint="eastAsia" w:ascii="宋体" w:hAnsi="宋体" w:cs="宋体"/>
          <w:color w:val="000000"/>
          <w:sz w:val="24"/>
          <w:szCs w:val="24"/>
          <w:highlight w:val="none"/>
        </w:rPr>
        <w:t>同一标段</w:t>
      </w:r>
      <w:r>
        <w:rPr>
          <w:rFonts w:ascii="宋体" w:hAnsi="宋体" w:cs="宋体"/>
          <w:color w:val="000000"/>
          <w:sz w:val="24"/>
          <w:szCs w:val="24"/>
          <w:highlight w:val="none"/>
        </w:rPr>
        <w:t>的其他投标人存在控股、管理关系；</w:t>
      </w:r>
    </w:p>
    <w:p>
      <w:pPr>
        <w:widowControl w:val="0"/>
        <w:numPr>
          <w:ilvl w:val="0"/>
          <w:numId w:val="3"/>
        </w:numPr>
        <w:snapToGrid w:val="0"/>
        <w:ind w:left="425" w:hanging="425"/>
        <w:jc w:val="both"/>
        <w:rPr>
          <w:rFonts w:ascii="宋体" w:hAnsi="宋体" w:cs="宋体"/>
          <w:color w:val="000000"/>
          <w:sz w:val="24"/>
          <w:szCs w:val="24"/>
          <w:highlight w:val="none"/>
        </w:rPr>
      </w:pPr>
      <w:r>
        <w:rPr>
          <w:rFonts w:ascii="宋体" w:hAnsi="宋体" w:cs="宋体"/>
          <w:color w:val="000000"/>
          <w:sz w:val="24"/>
          <w:szCs w:val="24"/>
          <w:highlight w:val="none"/>
        </w:rPr>
        <w:t>被依法暂停或者取消投标资格；</w:t>
      </w:r>
    </w:p>
    <w:p>
      <w:pPr>
        <w:widowControl w:val="0"/>
        <w:numPr>
          <w:ilvl w:val="0"/>
          <w:numId w:val="3"/>
        </w:numPr>
        <w:snapToGrid w:val="0"/>
        <w:ind w:left="425" w:hanging="425"/>
        <w:jc w:val="both"/>
        <w:rPr>
          <w:rFonts w:ascii="宋体" w:hAnsi="宋体" w:cs="宋体"/>
          <w:color w:val="000000"/>
          <w:sz w:val="24"/>
          <w:szCs w:val="24"/>
          <w:highlight w:val="none"/>
        </w:rPr>
      </w:pPr>
      <w:r>
        <w:rPr>
          <w:rFonts w:ascii="宋体" w:hAnsi="宋体" w:cs="宋体"/>
          <w:color w:val="000000"/>
          <w:sz w:val="24"/>
          <w:szCs w:val="24"/>
          <w:highlight w:val="none"/>
        </w:rPr>
        <w:t>被责令停产停业、暂扣或者吊销许可证、暂扣或者吊销执照；</w:t>
      </w:r>
    </w:p>
    <w:p>
      <w:pPr>
        <w:widowControl w:val="0"/>
        <w:numPr>
          <w:ilvl w:val="0"/>
          <w:numId w:val="3"/>
        </w:numPr>
        <w:snapToGrid w:val="0"/>
        <w:ind w:left="425" w:hanging="425"/>
        <w:jc w:val="both"/>
        <w:rPr>
          <w:rFonts w:ascii="宋体" w:hAnsi="宋体" w:cs="宋体"/>
          <w:color w:val="000000"/>
          <w:sz w:val="24"/>
          <w:szCs w:val="24"/>
          <w:highlight w:val="none"/>
        </w:rPr>
      </w:pPr>
      <w:r>
        <w:rPr>
          <w:rFonts w:ascii="宋体" w:hAnsi="宋体" w:cs="宋体"/>
          <w:color w:val="000000"/>
          <w:sz w:val="24"/>
          <w:szCs w:val="24"/>
          <w:highlight w:val="none"/>
        </w:rPr>
        <w:t>进入清算程序，或被宣告破产，或其他丧失履约能力的情形；</w:t>
      </w:r>
    </w:p>
    <w:p>
      <w:pPr>
        <w:widowControl w:val="0"/>
        <w:numPr>
          <w:ilvl w:val="0"/>
          <w:numId w:val="3"/>
        </w:numPr>
        <w:snapToGrid w:val="0"/>
        <w:ind w:left="425" w:hanging="425"/>
        <w:jc w:val="both"/>
        <w:rPr>
          <w:rFonts w:cs="宋体"/>
          <w:color w:val="000000"/>
          <w:sz w:val="24"/>
          <w:szCs w:val="24"/>
          <w:highlight w:val="none"/>
        </w:rPr>
      </w:pPr>
      <w:r>
        <w:rPr>
          <w:rFonts w:hint="eastAsia" w:cs="宋体"/>
          <w:color w:val="000000"/>
          <w:sz w:val="24"/>
          <w:szCs w:val="24"/>
          <w:highlight w:val="none"/>
        </w:rPr>
        <w:t>投标人被</w:t>
      </w:r>
      <w:r>
        <w:rPr>
          <w:rFonts w:hint="eastAsia" w:ascii="宋体" w:hAnsi="宋体" w:cs="宋体"/>
          <w:color w:val="000000"/>
          <w:sz w:val="24"/>
          <w:szCs w:val="24"/>
          <w:highlight w:val="none"/>
        </w:rPr>
        <w:t>“信用中国”网站（www.creditchina.gov.cn</w:t>
      </w:r>
      <w:r>
        <w:rPr>
          <w:rFonts w:hint="eastAsia" w:cs="宋体"/>
          <w:color w:val="000000"/>
          <w:sz w:val="24"/>
          <w:szCs w:val="24"/>
          <w:highlight w:val="none"/>
        </w:rPr>
        <w:t>）列入严重失信主体名单、经营异常名录、失信被执行人、重大税收违法失信主体或政府采购严重违法失信行为记录名单；</w:t>
      </w:r>
    </w:p>
    <w:p>
      <w:pPr>
        <w:widowControl w:val="0"/>
        <w:numPr>
          <w:ilvl w:val="0"/>
          <w:numId w:val="3"/>
        </w:numPr>
        <w:snapToGrid w:val="0"/>
        <w:ind w:left="425" w:hanging="425"/>
        <w:jc w:val="both"/>
        <w:rPr>
          <w:rFonts w:cs="宋体"/>
          <w:color w:val="000000"/>
          <w:sz w:val="24"/>
          <w:szCs w:val="24"/>
          <w:highlight w:val="none"/>
        </w:rPr>
      </w:pPr>
      <w:r>
        <w:rPr>
          <w:rFonts w:hint="eastAsia" w:cs="宋体"/>
          <w:color w:val="000000"/>
          <w:sz w:val="24"/>
          <w:szCs w:val="24"/>
          <w:highlight w:val="none"/>
        </w:rPr>
        <w:t>投标人在近三年中有行贿犯罪记录（以《中国裁判文书网》的查询结果为准）；</w:t>
      </w:r>
    </w:p>
    <w:p>
      <w:pPr>
        <w:widowControl w:val="0"/>
        <w:numPr>
          <w:ilvl w:val="0"/>
          <w:numId w:val="3"/>
        </w:numPr>
        <w:snapToGrid w:val="0"/>
        <w:ind w:left="425" w:hanging="425"/>
        <w:jc w:val="both"/>
        <w:rPr>
          <w:rFonts w:cs="宋体"/>
          <w:color w:val="000000"/>
          <w:sz w:val="24"/>
          <w:szCs w:val="24"/>
          <w:highlight w:val="none"/>
        </w:rPr>
      </w:pPr>
      <w:r>
        <w:rPr>
          <w:rFonts w:hint="eastAsia" w:cs="宋体"/>
          <w:color w:val="000000"/>
          <w:sz w:val="24"/>
          <w:szCs w:val="24"/>
          <w:highlight w:val="none"/>
        </w:rPr>
        <w:t>投标人被上海机场（集团）有限公司列入不良行为供应商名单（此名单公布于上海机场（集团）有限公司官网（</w:t>
      </w:r>
      <w:r>
        <w:rPr>
          <w:rFonts w:hint="eastAsia" w:ascii="宋体" w:hAnsi="宋体" w:cs="宋体"/>
          <w:color w:val="000000"/>
          <w:sz w:val="24"/>
          <w:szCs w:val="24"/>
          <w:highlight w:val="none"/>
        </w:rPr>
        <w:t>www.shairport.com</w:t>
      </w:r>
      <w:r>
        <w:rPr>
          <w:rFonts w:hint="eastAsia" w:cs="宋体"/>
          <w:color w:val="000000"/>
          <w:sz w:val="24"/>
          <w:szCs w:val="24"/>
          <w:highlight w:val="none"/>
        </w:rPr>
        <w:t>）首页标题栏中“信息公开</w:t>
      </w:r>
      <w:r>
        <w:rPr>
          <w:rFonts w:hint="eastAsia" w:ascii="宋体" w:hAnsi="宋体" w:cs="宋体"/>
          <w:color w:val="000000"/>
          <w:sz w:val="24"/>
          <w:szCs w:val="24"/>
          <w:highlight w:val="none"/>
        </w:rPr>
        <w:t>/</w:t>
      </w:r>
      <w:r>
        <w:rPr>
          <w:rFonts w:hint="eastAsia" w:cs="宋体"/>
          <w:color w:val="000000"/>
          <w:sz w:val="24"/>
          <w:szCs w:val="24"/>
          <w:highlight w:val="none"/>
        </w:rPr>
        <w:t>招标信息</w:t>
      </w:r>
      <w:r>
        <w:rPr>
          <w:rFonts w:hint="eastAsia" w:ascii="宋体" w:hAnsi="宋体" w:cs="宋体"/>
          <w:color w:val="000000"/>
          <w:sz w:val="24"/>
          <w:szCs w:val="24"/>
          <w:highlight w:val="none"/>
        </w:rPr>
        <w:t>/</w:t>
      </w:r>
      <w:r>
        <w:rPr>
          <w:rFonts w:hint="eastAsia" w:cs="宋体"/>
          <w:color w:val="000000"/>
          <w:sz w:val="24"/>
          <w:szCs w:val="24"/>
          <w:highlight w:val="none"/>
        </w:rPr>
        <w:t>政策发布”页面）。</w:t>
      </w:r>
    </w:p>
    <w:p>
      <w:pPr>
        <w:widowControl w:val="0"/>
        <w:numPr>
          <w:ilvl w:val="0"/>
          <w:numId w:val="3"/>
        </w:numPr>
        <w:snapToGrid w:val="0"/>
        <w:ind w:left="425" w:hanging="425"/>
        <w:jc w:val="both"/>
        <w:rPr>
          <w:rFonts w:ascii="宋体" w:hAnsi="宋体" w:cs="宋体"/>
          <w:color w:val="000000"/>
          <w:sz w:val="24"/>
          <w:szCs w:val="24"/>
          <w:highlight w:val="none"/>
        </w:rPr>
      </w:pPr>
      <w:r>
        <w:rPr>
          <w:rFonts w:hint="eastAsia" w:ascii="宋体" w:hAnsi="宋体" w:cs="宋体"/>
          <w:color w:val="000000"/>
          <w:sz w:val="24"/>
          <w:szCs w:val="24"/>
          <w:highlight w:val="none"/>
        </w:rPr>
        <w:t>法律法规规定的其他情形。</w:t>
      </w:r>
    </w:p>
    <w:p>
      <w:pPr>
        <w:snapToGrid w:val="0"/>
        <w:jc w:val="both"/>
        <w:rPr>
          <w:color w:val="000000"/>
          <w:sz w:val="24"/>
          <w:szCs w:val="24"/>
          <w:highlight w:val="none"/>
        </w:rPr>
      </w:pPr>
      <w:r>
        <w:rPr>
          <w:rFonts w:hint="eastAsia"/>
          <w:color w:val="000000"/>
          <w:sz w:val="24"/>
          <w:szCs w:val="24"/>
          <w:highlight w:val="none"/>
        </w:rPr>
        <w:t>4</w:t>
      </w:r>
      <w:r>
        <w:rPr>
          <w:color w:val="000000"/>
          <w:sz w:val="24"/>
          <w:szCs w:val="24"/>
          <w:highlight w:val="none"/>
        </w:rPr>
        <w:t>. 招标文件的获取</w:t>
      </w:r>
      <w:bookmarkEnd w:id="3"/>
    </w:p>
    <w:p>
      <w:pPr>
        <w:snapToGrid w:val="0"/>
        <w:jc w:val="both"/>
        <w:rPr>
          <w:rFonts w:ascii="宋体" w:hAnsi="宋体"/>
          <w:color w:val="000000"/>
          <w:sz w:val="24"/>
          <w:szCs w:val="24"/>
          <w:highlight w:val="none"/>
        </w:rPr>
      </w:pPr>
      <w:r>
        <w:rPr>
          <w:rFonts w:hint="eastAsia"/>
          <w:color w:val="000000"/>
          <w:sz w:val="24"/>
          <w:szCs w:val="24"/>
          <w:highlight w:val="none"/>
        </w:rPr>
        <w:t>4</w:t>
      </w:r>
      <w:r>
        <w:rPr>
          <w:color w:val="000000"/>
          <w:sz w:val="24"/>
          <w:szCs w:val="24"/>
          <w:highlight w:val="none"/>
        </w:rPr>
        <w:t>.1</w:t>
      </w:r>
      <w:r>
        <w:rPr>
          <w:rFonts w:hint="eastAsia" w:ascii="宋体" w:hAnsi="宋体"/>
          <w:color w:val="000000"/>
          <w:sz w:val="24"/>
          <w:szCs w:val="24"/>
          <w:highlight w:val="none"/>
        </w:rPr>
        <w:t>有意参加投标者，请于即日起至2023</w:t>
      </w:r>
      <w:r>
        <w:rPr>
          <w:rFonts w:ascii="宋体" w:hAnsi="宋体"/>
          <w:color w:val="000000"/>
          <w:sz w:val="24"/>
          <w:szCs w:val="24"/>
          <w:highlight w:val="none"/>
        </w:rPr>
        <w:t>年</w:t>
      </w:r>
      <w:r>
        <w:rPr>
          <w:rFonts w:hint="eastAsia" w:ascii="宋体" w:hAnsi="宋体"/>
          <w:color w:val="000000"/>
          <w:sz w:val="24"/>
          <w:szCs w:val="24"/>
          <w:highlight w:val="none"/>
          <w:lang w:val="en-US" w:eastAsia="zh-CN"/>
        </w:rPr>
        <w:t>10</w:t>
      </w:r>
      <w:r>
        <w:rPr>
          <w:rFonts w:ascii="宋体" w:hAnsi="宋体"/>
          <w:color w:val="000000"/>
          <w:sz w:val="24"/>
          <w:szCs w:val="24"/>
          <w:highlight w:val="none"/>
        </w:rPr>
        <w:t>月</w:t>
      </w:r>
      <w:r>
        <w:rPr>
          <w:rFonts w:hint="eastAsia" w:ascii="宋体" w:hAnsi="宋体"/>
          <w:color w:val="000000"/>
          <w:sz w:val="24"/>
          <w:szCs w:val="24"/>
          <w:highlight w:val="none"/>
          <w:lang w:val="en-US" w:eastAsia="zh-CN"/>
        </w:rPr>
        <w:t>12</w:t>
      </w:r>
      <w:r>
        <w:rPr>
          <w:rFonts w:ascii="宋体" w:hAnsi="宋体"/>
          <w:color w:val="000000"/>
          <w:sz w:val="24"/>
          <w:szCs w:val="24"/>
          <w:highlight w:val="none"/>
        </w:rPr>
        <w:t>日止</w:t>
      </w:r>
      <w:r>
        <w:rPr>
          <w:rFonts w:hint="eastAsia" w:ascii="宋体" w:hAnsi="宋体"/>
          <w:color w:val="000000"/>
          <w:sz w:val="24"/>
          <w:szCs w:val="24"/>
          <w:highlight w:val="none"/>
        </w:rPr>
        <w:t>，每日上午9:00至11:00，下午14:00至16:00（节假日除外）（北京时间，下同），在上海市四川中路220号5楼--上海浦东国际机场进出口有限公司购买招标文件。邮购招标文件的，招标机构在收到邮购款后三个工作日内寄送，详见邮购流程（邮购手续费另加100元）。</w:t>
      </w:r>
    </w:p>
    <w:p>
      <w:pPr>
        <w:snapToGrid w:val="0"/>
        <w:jc w:val="both"/>
        <w:rPr>
          <w:color w:val="000000"/>
          <w:sz w:val="24"/>
          <w:szCs w:val="24"/>
          <w:highlight w:val="none"/>
        </w:rPr>
      </w:pPr>
      <w:r>
        <w:rPr>
          <w:rFonts w:hint="eastAsia"/>
          <w:color w:val="000000"/>
          <w:sz w:val="24"/>
          <w:szCs w:val="24"/>
          <w:highlight w:val="none"/>
        </w:rPr>
        <w:t>4</w:t>
      </w:r>
      <w:r>
        <w:rPr>
          <w:color w:val="000000"/>
          <w:sz w:val="24"/>
          <w:szCs w:val="24"/>
          <w:highlight w:val="none"/>
        </w:rPr>
        <w:t>.2招标文件每套售价</w:t>
      </w:r>
      <w:r>
        <w:rPr>
          <w:rFonts w:hint="eastAsia" w:ascii="宋体" w:hAnsi="宋体"/>
          <w:color w:val="000000"/>
          <w:sz w:val="24"/>
          <w:szCs w:val="24"/>
          <w:highlight w:val="none"/>
        </w:rPr>
        <w:t>2000</w:t>
      </w:r>
      <w:r>
        <w:rPr>
          <w:color w:val="000000"/>
          <w:sz w:val="24"/>
          <w:szCs w:val="24"/>
          <w:highlight w:val="none"/>
        </w:rPr>
        <w:t>元</w:t>
      </w:r>
      <w:r>
        <w:rPr>
          <w:rFonts w:hint="eastAsia"/>
          <w:color w:val="000000"/>
          <w:sz w:val="24"/>
          <w:szCs w:val="24"/>
          <w:highlight w:val="none"/>
        </w:rPr>
        <w:t>（含电子版）</w:t>
      </w:r>
      <w:r>
        <w:rPr>
          <w:color w:val="000000"/>
          <w:sz w:val="24"/>
          <w:szCs w:val="24"/>
          <w:highlight w:val="none"/>
        </w:rPr>
        <w:t>，售后不退。</w:t>
      </w:r>
      <w:r>
        <w:rPr>
          <w:rFonts w:hint="eastAsia"/>
          <w:color w:val="000000"/>
          <w:sz w:val="24"/>
          <w:szCs w:val="24"/>
          <w:highlight w:val="none"/>
        </w:rPr>
        <w:t>未领购招标文件的不得参加投标，招标机构将拒收其投标文件</w:t>
      </w:r>
      <w:r>
        <w:rPr>
          <w:rFonts w:hint="eastAsia"/>
          <w:b/>
          <w:bCs/>
          <w:color w:val="000000"/>
          <w:sz w:val="24"/>
          <w:szCs w:val="24"/>
          <w:highlight w:val="none"/>
        </w:rPr>
        <w:t>。购买招标文件时请提供加盖公章的营业执照复印件及增值税发票开票信息；</w:t>
      </w:r>
      <w:r>
        <w:rPr>
          <w:rFonts w:hint="eastAsia"/>
          <w:color w:val="000000"/>
          <w:sz w:val="24"/>
          <w:szCs w:val="24"/>
          <w:highlight w:val="none"/>
        </w:rPr>
        <w:t>因潜在投标人提供的开票信息不完整、不准确或错误引起的一切责任与后果均由该潜在投标人自行承担。</w:t>
      </w:r>
    </w:p>
    <w:p>
      <w:pPr>
        <w:snapToGrid w:val="0"/>
        <w:jc w:val="both"/>
        <w:rPr>
          <w:color w:val="000000"/>
          <w:sz w:val="24"/>
          <w:szCs w:val="24"/>
          <w:highlight w:val="none"/>
        </w:rPr>
      </w:pPr>
      <w:bookmarkStart w:id="4" w:name="_Toc486336375"/>
      <w:r>
        <w:rPr>
          <w:rFonts w:hint="eastAsia"/>
          <w:color w:val="000000"/>
          <w:sz w:val="24"/>
          <w:szCs w:val="24"/>
          <w:highlight w:val="none"/>
        </w:rPr>
        <w:t>5</w:t>
      </w:r>
      <w:r>
        <w:rPr>
          <w:color w:val="000000"/>
          <w:sz w:val="24"/>
          <w:szCs w:val="24"/>
          <w:highlight w:val="none"/>
        </w:rPr>
        <w:t>. 投标文件的递交</w:t>
      </w:r>
      <w:bookmarkEnd w:id="4"/>
    </w:p>
    <w:p>
      <w:pPr>
        <w:snapToGrid w:val="0"/>
        <w:jc w:val="both"/>
        <w:rPr>
          <w:rFonts w:ascii="宋体" w:hAnsi="宋体"/>
          <w:color w:val="000000"/>
          <w:sz w:val="24"/>
          <w:szCs w:val="24"/>
          <w:highlight w:val="none"/>
        </w:rPr>
      </w:pPr>
      <w:r>
        <w:rPr>
          <w:rFonts w:hint="eastAsia"/>
          <w:color w:val="000000"/>
          <w:sz w:val="24"/>
          <w:szCs w:val="24"/>
          <w:highlight w:val="none"/>
        </w:rPr>
        <w:t>5</w:t>
      </w:r>
      <w:r>
        <w:rPr>
          <w:color w:val="000000"/>
          <w:sz w:val="24"/>
          <w:szCs w:val="24"/>
          <w:highlight w:val="none"/>
        </w:rPr>
        <w:t>.1</w:t>
      </w:r>
      <w:r>
        <w:rPr>
          <w:rFonts w:ascii="宋体" w:hAnsi="宋体"/>
          <w:color w:val="000000"/>
          <w:sz w:val="24"/>
          <w:szCs w:val="24"/>
          <w:highlight w:val="none"/>
        </w:rPr>
        <w:t>投标文件递交的截止时间（投标截止时间，下同）为</w:t>
      </w:r>
      <w:r>
        <w:rPr>
          <w:rFonts w:hint="eastAsia" w:ascii="宋体" w:hAnsi="宋体"/>
          <w:color w:val="000000"/>
          <w:sz w:val="24"/>
          <w:szCs w:val="24"/>
          <w:highlight w:val="none"/>
        </w:rPr>
        <w:t>2023年</w:t>
      </w:r>
      <w:r>
        <w:rPr>
          <w:rFonts w:hint="eastAsia" w:ascii="宋体" w:hAnsi="宋体"/>
          <w:color w:val="000000"/>
          <w:sz w:val="24"/>
          <w:szCs w:val="24"/>
          <w:highlight w:val="none"/>
          <w:lang w:val="en-US" w:eastAsia="zh-CN"/>
        </w:rPr>
        <w:t>10</w:t>
      </w:r>
      <w:r>
        <w:rPr>
          <w:rFonts w:hint="eastAsia" w:ascii="宋体" w:hAnsi="宋体"/>
          <w:color w:val="000000"/>
          <w:sz w:val="24"/>
          <w:szCs w:val="24"/>
          <w:highlight w:val="none"/>
        </w:rPr>
        <w:t>月</w:t>
      </w:r>
      <w:r>
        <w:rPr>
          <w:rFonts w:hint="eastAsia" w:ascii="宋体" w:hAnsi="宋体"/>
          <w:color w:val="000000"/>
          <w:sz w:val="24"/>
          <w:szCs w:val="24"/>
          <w:highlight w:val="none"/>
          <w:lang w:val="en-US" w:eastAsia="zh-CN"/>
        </w:rPr>
        <w:t>30</w:t>
      </w:r>
      <w:r>
        <w:rPr>
          <w:rFonts w:hint="eastAsia" w:ascii="宋体" w:hAnsi="宋体"/>
          <w:color w:val="000000"/>
          <w:sz w:val="24"/>
          <w:szCs w:val="24"/>
          <w:highlight w:val="none"/>
        </w:rPr>
        <w:t>日上午10:00整（北京时间）</w:t>
      </w:r>
      <w:r>
        <w:rPr>
          <w:rFonts w:ascii="宋体" w:hAnsi="宋体"/>
          <w:color w:val="000000"/>
          <w:sz w:val="24"/>
          <w:szCs w:val="24"/>
          <w:highlight w:val="none"/>
        </w:rPr>
        <w:t>，地点为</w:t>
      </w:r>
      <w:r>
        <w:rPr>
          <w:rFonts w:hint="eastAsia" w:ascii="宋体" w:hAnsi="宋体"/>
          <w:color w:val="000000"/>
          <w:sz w:val="24"/>
          <w:szCs w:val="24"/>
          <w:highlight w:val="none"/>
        </w:rPr>
        <w:t>上海市四川中路220号5楼--上海浦东国际机场进出口有限公司</w:t>
      </w:r>
      <w:r>
        <w:rPr>
          <w:rFonts w:ascii="宋体" w:hAnsi="宋体"/>
          <w:color w:val="000000"/>
          <w:sz w:val="24"/>
          <w:szCs w:val="24"/>
          <w:highlight w:val="none"/>
        </w:rPr>
        <w:t>。</w:t>
      </w:r>
    </w:p>
    <w:p>
      <w:pPr>
        <w:snapToGrid w:val="0"/>
        <w:jc w:val="both"/>
        <w:rPr>
          <w:color w:val="000000"/>
          <w:sz w:val="24"/>
          <w:szCs w:val="24"/>
          <w:highlight w:val="none"/>
        </w:rPr>
      </w:pPr>
      <w:r>
        <w:rPr>
          <w:rFonts w:hint="eastAsia"/>
          <w:color w:val="000000"/>
          <w:sz w:val="24"/>
          <w:szCs w:val="24"/>
          <w:highlight w:val="none"/>
        </w:rPr>
        <w:t>5</w:t>
      </w:r>
      <w:r>
        <w:rPr>
          <w:color w:val="000000"/>
          <w:sz w:val="24"/>
          <w:szCs w:val="24"/>
          <w:highlight w:val="none"/>
        </w:rPr>
        <w:t>.2逾期送达的、未送达指定地点的或者不按照招标文件要求密封的投标文件，</w:t>
      </w:r>
      <w:r>
        <w:rPr>
          <w:rFonts w:hint="eastAsia"/>
          <w:color w:val="000000"/>
          <w:sz w:val="24"/>
          <w:szCs w:val="24"/>
          <w:highlight w:val="none"/>
        </w:rPr>
        <w:t>招标机构将予以拒收</w:t>
      </w:r>
      <w:r>
        <w:rPr>
          <w:color w:val="000000"/>
          <w:sz w:val="24"/>
          <w:szCs w:val="24"/>
          <w:highlight w:val="none"/>
        </w:rPr>
        <w:t>。</w:t>
      </w:r>
    </w:p>
    <w:p>
      <w:pPr>
        <w:snapToGrid w:val="0"/>
        <w:jc w:val="both"/>
        <w:rPr>
          <w:color w:val="000000"/>
          <w:sz w:val="24"/>
          <w:szCs w:val="24"/>
          <w:highlight w:val="none"/>
        </w:rPr>
      </w:pPr>
      <w:bookmarkStart w:id="5" w:name="_Toc486336376"/>
      <w:r>
        <w:rPr>
          <w:rFonts w:hint="eastAsia"/>
          <w:color w:val="000000"/>
          <w:sz w:val="24"/>
          <w:szCs w:val="24"/>
          <w:highlight w:val="none"/>
        </w:rPr>
        <w:t>6. 发布公告的媒介</w:t>
      </w:r>
      <w:bookmarkEnd w:id="5"/>
    </w:p>
    <w:p>
      <w:pPr>
        <w:snapToGrid w:val="0"/>
        <w:jc w:val="both"/>
        <w:rPr>
          <w:color w:val="000000"/>
          <w:sz w:val="24"/>
          <w:szCs w:val="24"/>
          <w:highlight w:val="none"/>
        </w:rPr>
      </w:pPr>
      <w:r>
        <w:rPr>
          <w:rFonts w:hint="eastAsia"/>
          <w:color w:val="000000"/>
          <w:sz w:val="24"/>
          <w:szCs w:val="24"/>
          <w:highlight w:val="none"/>
        </w:rPr>
        <w:t>本次招标公告在“中国招标投标公共服务平台”上发布。</w:t>
      </w:r>
    </w:p>
    <w:p>
      <w:pPr>
        <w:snapToGrid w:val="0"/>
        <w:jc w:val="both"/>
        <w:rPr>
          <w:color w:val="000000"/>
          <w:sz w:val="24"/>
          <w:szCs w:val="24"/>
          <w:highlight w:val="none"/>
        </w:rPr>
      </w:pPr>
      <w:bookmarkStart w:id="6" w:name="_Toc486336377"/>
      <w:r>
        <w:rPr>
          <w:rFonts w:hint="eastAsia"/>
          <w:color w:val="000000"/>
          <w:sz w:val="24"/>
          <w:szCs w:val="24"/>
          <w:highlight w:val="none"/>
        </w:rPr>
        <w:t>7</w:t>
      </w:r>
      <w:r>
        <w:rPr>
          <w:color w:val="000000"/>
          <w:sz w:val="24"/>
          <w:szCs w:val="24"/>
          <w:highlight w:val="none"/>
        </w:rPr>
        <w:t xml:space="preserve">. </w:t>
      </w:r>
      <w:r>
        <w:rPr>
          <w:rFonts w:hint="eastAsia"/>
          <w:color w:val="000000"/>
          <w:sz w:val="24"/>
          <w:szCs w:val="24"/>
          <w:highlight w:val="none"/>
        </w:rPr>
        <w:t>招商方式的转换</w:t>
      </w:r>
    </w:p>
    <w:p>
      <w:pPr>
        <w:snapToGrid w:val="0"/>
        <w:jc w:val="both"/>
        <w:rPr>
          <w:rFonts w:hint="default"/>
          <w:color w:val="000000"/>
          <w:sz w:val="24"/>
          <w:szCs w:val="24"/>
          <w:highlight w:val="none"/>
          <w:lang w:val="en-US"/>
        </w:rPr>
      </w:pPr>
      <w:r>
        <w:rPr>
          <w:rFonts w:hint="eastAsia"/>
          <w:color w:val="000000"/>
          <w:sz w:val="24"/>
          <w:szCs w:val="24"/>
          <w:highlight w:val="none"/>
        </w:rPr>
        <w:t>7.1 投标截止后，投标人不足3家的标段直接转为比选（两家）/定向谈判（一家），原投标人转为应选人，原招标文件转为比选文件/定向谈判文件，原投标文件转为响应文件</w:t>
      </w:r>
      <w:r>
        <w:rPr>
          <w:rFonts w:hint="eastAsia" w:eastAsia="宋体"/>
          <w:color w:val="000000"/>
          <w:sz w:val="24"/>
          <w:szCs w:val="24"/>
          <w:highlight w:val="none"/>
          <w:lang w:eastAsia="zh-CN"/>
        </w:rPr>
        <w:t>，</w:t>
      </w:r>
      <w:r>
        <w:rPr>
          <w:rFonts w:hint="eastAsia" w:ascii="Times New Roman" w:eastAsia="宋体"/>
          <w:color w:val="000000"/>
          <w:sz w:val="24"/>
          <w:szCs w:val="24"/>
          <w:highlight w:val="none"/>
          <w:lang w:val="en-US" w:eastAsia="zh-CN"/>
        </w:rPr>
        <w:t>投标保证金转为响应保证金，评标委员会转为评审委员会</w:t>
      </w:r>
      <w:r>
        <w:rPr>
          <w:rFonts w:hint="eastAsia"/>
          <w:color w:val="000000"/>
          <w:sz w:val="24"/>
          <w:szCs w:val="24"/>
          <w:highlight w:val="none"/>
        </w:rPr>
        <w:t>。比选文件/定向谈判文件</w:t>
      </w:r>
      <w:r>
        <w:rPr>
          <w:rFonts w:hint="eastAsia" w:ascii="Times New Roman" w:eastAsia="宋体"/>
          <w:color w:val="000000"/>
          <w:sz w:val="24"/>
          <w:szCs w:val="24"/>
          <w:highlight w:val="none"/>
          <w:lang w:val="en-US" w:eastAsia="zh-CN"/>
        </w:rPr>
        <w:t>和响应文件对双方均具有约束力，应选人如有撤销响应文件、</w:t>
      </w:r>
      <w:r>
        <w:rPr>
          <w:rFonts w:hint="eastAsia"/>
          <w:color w:val="000000"/>
          <w:sz w:val="24"/>
          <w:szCs w:val="24"/>
          <w:highlight w:val="none"/>
        </w:rPr>
        <w:t>违反</w:t>
      </w:r>
      <w:r>
        <w:rPr>
          <w:rFonts w:hint="eastAsia" w:ascii="Times New Roman" w:eastAsia="宋体"/>
          <w:color w:val="000000"/>
          <w:sz w:val="24"/>
          <w:szCs w:val="24"/>
          <w:highlight w:val="none"/>
          <w:lang w:val="en-US" w:eastAsia="zh-CN"/>
        </w:rPr>
        <w:t>响应</w:t>
      </w:r>
      <w:r>
        <w:rPr>
          <w:rFonts w:hint="eastAsia"/>
          <w:color w:val="000000"/>
          <w:sz w:val="24"/>
          <w:szCs w:val="24"/>
          <w:highlight w:val="none"/>
        </w:rPr>
        <w:t>文件承诺</w:t>
      </w:r>
      <w:r>
        <w:rPr>
          <w:rFonts w:hint="eastAsia" w:ascii="Times New Roman" w:eastAsia="宋体"/>
          <w:color w:val="000000"/>
          <w:sz w:val="24"/>
          <w:szCs w:val="24"/>
          <w:highlight w:val="none"/>
          <w:lang w:val="en-US" w:eastAsia="zh-CN"/>
        </w:rPr>
        <w:t>等情形</w:t>
      </w:r>
      <w:r>
        <w:rPr>
          <w:rFonts w:hint="eastAsia" w:eastAsia="宋体"/>
          <w:color w:val="000000"/>
          <w:sz w:val="24"/>
          <w:szCs w:val="24"/>
          <w:highlight w:val="none"/>
          <w:lang w:eastAsia="zh-CN"/>
        </w:rPr>
        <w:t>（</w:t>
      </w:r>
      <w:r>
        <w:rPr>
          <w:rFonts w:hint="eastAsia" w:ascii="Times New Roman" w:eastAsia="宋体"/>
          <w:color w:val="000000"/>
          <w:sz w:val="24"/>
          <w:szCs w:val="24"/>
          <w:highlight w:val="none"/>
          <w:lang w:val="en-US" w:eastAsia="zh-CN"/>
        </w:rPr>
        <w:t>包括二次报价低于原响应文件报价的情形</w:t>
      </w:r>
      <w:r>
        <w:rPr>
          <w:rFonts w:hint="eastAsia" w:eastAsia="宋体"/>
          <w:color w:val="000000"/>
          <w:sz w:val="24"/>
          <w:szCs w:val="24"/>
          <w:highlight w:val="none"/>
          <w:lang w:eastAsia="zh-CN"/>
        </w:rPr>
        <w:t>）</w:t>
      </w:r>
      <w:r>
        <w:rPr>
          <w:rFonts w:hint="eastAsia" w:ascii="Times New Roman" w:eastAsia="宋体"/>
          <w:color w:val="000000"/>
          <w:sz w:val="24"/>
          <w:szCs w:val="24"/>
          <w:highlight w:val="none"/>
          <w:lang w:val="en-US" w:eastAsia="zh-CN"/>
        </w:rPr>
        <w:t>，响应保证金不予退还。转为比选/定向谈判后，应选人应在评审委员会规定的时间内提供不低于原响应文件的二次报价，以及优于原响应文件的方案和承诺（如有），作为响应文件的组成部</w:t>
      </w:r>
      <w:r>
        <w:rPr>
          <w:rFonts w:hint="default"/>
          <w:color w:val="000000"/>
          <w:sz w:val="24"/>
          <w:szCs w:val="24"/>
          <w:highlight w:val="none"/>
          <w:lang w:val="en-US" w:eastAsia="zh-CN"/>
        </w:rPr>
        <w:t>分。评审委员会根据</w:t>
      </w:r>
      <w:r>
        <w:rPr>
          <w:rFonts w:hint="default"/>
          <w:color w:val="000000"/>
          <w:sz w:val="24"/>
          <w:szCs w:val="24"/>
          <w:highlight w:val="none"/>
          <w:lang w:val="en-US"/>
        </w:rPr>
        <w:t>比选文件/定向谈判文件</w:t>
      </w:r>
      <w:r>
        <w:rPr>
          <w:rFonts w:hint="default"/>
          <w:color w:val="000000"/>
          <w:sz w:val="24"/>
          <w:szCs w:val="24"/>
          <w:highlight w:val="none"/>
          <w:lang w:val="en-US" w:eastAsia="zh-CN"/>
        </w:rPr>
        <w:t>对响应文件进行评审，出具评审报告。</w:t>
      </w:r>
    </w:p>
    <w:p>
      <w:pPr>
        <w:numPr>
          <w:ilvl w:val="0"/>
          <w:numId w:val="4"/>
        </w:numPr>
        <w:snapToGrid w:val="0"/>
        <w:jc w:val="both"/>
        <w:rPr>
          <w:color w:val="000000"/>
          <w:sz w:val="24"/>
          <w:szCs w:val="24"/>
          <w:highlight w:val="none"/>
        </w:rPr>
      </w:pPr>
      <w:r>
        <w:rPr>
          <w:color w:val="000000"/>
          <w:sz w:val="24"/>
          <w:szCs w:val="24"/>
          <w:highlight w:val="none"/>
        </w:rPr>
        <w:t>联系方式</w:t>
      </w:r>
      <w:bookmarkEnd w:id="6"/>
    </w:p>
    <w:tbl>
      <w:tblPr>
        <w:tblStyle w:val="2"/>
        <w:tblW w:w="898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199"/>
        <w:gridCol w:w="47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199" w:type="dxa"/>
            <w:tcMar>
              <w:top w:w="0" w:type="dxa"/>
              <w:left w:w="57" w:type="dxa"/>
              <w:bottom w:w="0" w:type="dxa"/>
              <w:right w:w="57" w:type="dxa"/>
            </w:tcMar>
            <w:vAlign w:val="center"/>
          </w:tcPr>
          <w:p>
            <w:pPr>
              <w:snapToGrid w:val="0"/>
              <w:jc w:val="both"/>
              <w:rPr>
                <w:rFonts w:ascii="Calibri" w:hAnsi="Calibri"/>
                <w:color w:val="000000"/>
                <w:kern w:val="2"/>
                <w:sz w:val="21"/>
                <w:highlight w:val="none"/>
              </w:rPr>
            </w:pPr>
            <w:r>
              <w:rPr>
                <w:rFonts w:ascii="Calibri" w:hAnsi="Calibri"/>
                <w:color w:val="000000"/>
                <w:kern w:val="2"/>
                <w:sz w:val="21"/>
                <w:highlight w:val="none"/>
              </w:rPr>
              <w:t>招标人：</w:t>
            </w:r>
            <w:r>
              <w:rPr>
                <w:rFonts w:hint="eastAsia" w:ascii="Calibri" w:hAnsi="Calibri"/>
                <w:color w:val="000000"/>
                <w:kern w:val="2"/>
                <w:sz w:val="21"/>
                <w:highlight w:val="none"/>
              </w:rPr>
              <w:t>上海国际机场股份有限公司</w:t>
            </w:r>
          </w:p>
        </w:tc>
        <w:tc>
          <w:tcPr>
            <w:tcW w:w="4784" w:type="dxa"/>
            <w:tcMar>
              <w:top w:w="0" w:type="dxa"/>
              <w:left w:w="57" w:type="dxa"/>
              <w:bottom w:w="0" w:type="dxa"/>
              <w:right w:w="57" w:type="dxa"/>
            </w:tcMar>
          </w:tcPr>
          <w:p>
            <w:pPr>
              <w:snapToGrid w:val="0"/>
              <w:jc w:val="both"/>
              <w:rPr>
                <w:rFonts w:ascii="Calibri" w:hAnsi="Calibri"/>
                <w:color w:val="000000"/>
                <w:kern w:val="2"/>
                <w:sz w:val="21"/>
                <w:highlight w:val="none"/>
              </w:rPr>
            </w:pPr>
            <w:r>
              <w:rPr>
                <w:rFonts w:ascii="Calibri" w:hAnsi="Calibri"/>
                <w:color w:val="000000"/>
                <w:kern w:val="2"/>
                <w:sz w:val="21"/>
                <w:highlight w:val="none"/>
              </w:rPr>
              <w:t>招标代理机构：上海浦东国际机场进出口有限公司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199" w:type="dxa"/>
            <w:tcMar>
              <w:top w:w="0" w:type="dxa"/>
              <w:left w:w="57" w:type="dxa"/>
              <w:bottom w:w="0" w:type="dxa"/>
              <w:right w:w="57" w:type="dxa"/>
            </w:tcMar>
            <w:vAlign w:val="center"/>
          </w:tcPr>
          <w:p>
            <w:pPr>
              <w:snapToGrid w:val="0"/>
              <w:jc w:val="both"/>
              <w:rPr>
                <w:rFonts w:ascii="Calibri" w:hAnsi="Calibri"/>
                <w:color w:val="000000"/>
                <w:kern w:val="2"/>
                <w:sz w:val="21"/>
                <w:highlight w:val="none"/>
              </w:rPr>
            </w:pPr>
            <w:r>
              <w:rPr>
                <w:rFonts w:ascii="Calibri" w:hAnsi="Calibri"/>
                <w:color w:val="000000"/>
                <w:kern w:val="2"/>
                <w:sz w:val="21"/>
                <w:highlight w:val="none"/>
              </w:rPr>
              <w:t>地址：</w:t>
            </w:r>
            <w:r>
              <w:rPr>
                <w:rFonts w:hint="eastAsia" w:ascii="Calibri" w:hAnsi="Calibri"/>
                <w:color w:val="000000"/>
                <w:kern w:val="2"/>
                <w:sz w:val="21"/>
                <w:highlight w:val="none"/>
              </w:rPr>
              <w:t>上海市浦东新区海天五路500号C座</w:t>
            </w:r>
          </w:p>
        </w:tc>
        <w:tc>
          <w:tcPr>
            <w:tcW w:w="4784" w:type="dxa"/>
            <w:tcMar>
              <w:top w:w="0" w:type="dxa"/>
              <w:left w:w="57" w:type="dxa"/>
              <w:bottom w:w="0" w:type="dxa"/>
              <w:right w:w="57" w:type="dxa"/>
            </w:tcMar>
          </w:tcPr>
          <w:p>
            <w:pPr>
              <w:snapToGrid w:val="0"/>
              <w:jc w:val="both"/>
              <w:rPr>
                <w:rFonts w:ascii="Calibri" w:hAnsi="Calibri"/>
                <w:color w:val="000000"/>
                <w:kern w:val="2"/>
                <w:sz w:val="21"/>
                <w:highlight w:val="none"/>
              </w:rPr>
            </w:pPr>
            <w:r>
              <w:rPr>
                <w:rFonts w:ascii="Calibri" w:hAnsi="Calibri"/>
                <w:color w:val="000000"/>
                <w:kern w:val="2"/>
                <w:sz w:val="21"/>
                <w:highlight w:val="none"/>
              </w:rPr>
              <w:t>地址：上海市四川中路220号5楼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199" w:type="dxa"/>
            <w:tcMar>
              <w:top w:w="0" w:type="dxa"/>
              <w:left w:w="57" w:type="dxa"/>
              <w:bottom w:w="0" w:type="dxa"/>
              <w:right w:w="57" w:type="dxa"/>
            </w:tcMar>
            <w:vAlign w:val="center"/>
          </w:tcPr>
          <w:p>
            <w:pPr>
              <w:snapToGrid w:val="0"/>
              <w:jc w:val="both"/>
              <w:rPr>
                <w:rFonts w:ascii="Calibri" w:hAnsi="Calibri"/>
                <w:color w:val="000000"/>
                <w:kern w:val="2"/>
                <w:sz w:val="21"/>
                <w:highlight w:val="none"/>
              </w:rPr>
            </w:pPr>
            <w:r>
              <w:rPr>
                <w:rFonts w:ascii="Calibri" w:hAnsi="Calibri"/>
                <w:color w:val="000000"/>
                <w:kern w:val="2"/>
                <w:sz w:val="21"/>
                <w:highlight w:val="none"/>
              </w:rPr>
              <w:t>邮编：</w:t>
            </w:r>
            <w:r>
              <w:rPr>
                <w:rFonts w:hint="eastAsia" w:ascii="Calibri" w:hAnsi="Calibri"/>
                <w:color w:val="000000"/>
                <w:kern w:val="2"/>
                <w:sz w:val="21"/>
                <w:highlight w:val="none"/>
              </w:rPr>
              <w:t>201207</w:t>
            </w:r>
          </w:p>
        </w:tc>
        <w:tc>
          <w:tcPr>
            <w:tcW w:w="4784" w:type="dxa"/>
            <w:tcMar>
              <w:top w:w="0" w:type="dxa"/>
              <w:left w:w="57" w:type="dxa"/>
              <w:bottom w:w="0" w:type="dxa"/>
              <w:right w:w="57" w:type="dxa"/>
            </w:tcMar>
          </w:tcPr>
          <w:p>
            <w:pPr>
              <w:snapToGrid w:val="0"/>
              <w:jc w:val="both"/>
              <w:rPr>
                <w:rFonts w:ascii="Calibri" w:hAnsi="Calibri"/>
                <w:color w:val="000000"/>
                <w:kern w:val="2"/>
                <w:sz w:val="21"/>
                <w:highlight w:val="none"/>
              </w:rPr>
            </w:pPr>
            <w:r>
              <w:rPr>
                <w:rFonts w:ascii="Calibri" w:hAnsi="Calibri"/>
                <w:color w:val="000000"/>
                <w:kern w:val="2"/>
                <w:sz w:val="21"/>
                <w:highlight w:val="none"/>
              </w:rPr>
              <w:t>邮编：200002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199" w:type="dxa"/>
            <w:tcMar>
              <w:top w:w="0" w:type="dxa"/>
              <w:left w:w="57" w:type="dxa"/>
              <w:bottom w:w="0" w:type="dxa"/>
              <w:right w:w="57" w:type="dxa"/>
            </w:tcMar>
            <w:vAlign w:val="center"/>
          </w:tcPr>
          <w:p>
            <w:pPr>
              <w:keepNext w:val="0"/>
              <w:keepLines w:val="0"/>
              <w:pageBreakBefore w:val="0"/>
              <w:widowControl/>
              <w:suppressLineNumbers w:val="0"/>
              <w:wordWrap/>
              <w:topLinePunct w:val="0"/>
              <w:autoSpaceDE/>
              <w:autoSpaceDN/>
              <w:bidi w:val="0"/>
              <w:snapToGrid w:val="0"/>
              <w:spacing w:before="0" w:beforeAutospacing="0" w:after="0" w:afterAutospacing="0" w:line="276" w:lineRule="auto"/>
              <w:ind w:left="0" w:leftChars="0" w:right="0" w:rightChars="0"/>
              <w:jc w:val="both"/>
              <w:textAlignment w:val="auto"/>
              <w:rPr>
                <w:rFonts w:hint="default" w:ascii="Calibri" w:hAnsi="Calibri" w:eastAsia="宋体" w:cs="Times New Roman"/>
                <w:color w:val="000000"/>
                <w:kern w:val="2"/>
                <w:sz w:val="21"/>
                <w:szCs w:val="22"/>
                <w:highlight w:val="none"/>
                <w:lang w:val="en-US" w:eastAsia="zh-CN" w:bidi="ar-SA"/>
              </w:rPr>
            </w:pPr>
            <w:r>
              <w:rPr>
                <w:rFonts w:ascii="Calibri" w:hAnsi="Calibri" w:cs="Times New Roman"/>
                <w:color w:val="000000"/>
                <w:kern w:val="2"/>
                <w:sz w:val="21"/>
                <w:highlight w:val="none"/>
              </w:rPr>
              <w:t>联系人：</w:t>
            </w:r>
            <w:r>
              <w:rPr>
                <w:rFonts w:hint="eastAsia" w:ascii="Calibri" w:hAnsi="Calibri" w:cs="Times New Roman"/>
                <w:color w:val="000000"/>
                <w:kern w:val="2"/>
                <w:sz w:val="21"/>
                <w:highlight w:val="none"/>
              </w:rPr>
              <w:t>陆晨丽</w:t>
            </w:r>
          </w:p>
        </w:tc>
        <w:tc>
          <w:tcPr>
            <w:tcW w:w="4784" w:type="dxa"/>
            <w:tcMar>
              <w:top w:w="0" w:type="dxa"/>
              <w:left w:w="57" w:type="dxa"/>
              <w:bottom w:w="0" w:type="dxa"/>
              <w:right w:w="57" w:type="dxa"/>
            </w:tcMar>
            <w:vAlign w:val="center"/>
          </w:tcPr>
          <w:p>
            <w:pPr>
              <w:snapToGrid w:val="0"/>
              <w:jc w:val="both"/>
              <w:rPr>
                <w:rFonts w:ascii="Calibri" w:hAnsi="Calibri"/>
                <w:color w:val="000000"/>
                <w:kern w:val="2"/>
                <w:sz w:val="21"/>
                <w:highlight w:val="none"/>
              </w:rPr>
            </w:pPr>
            <w:r>
              <w:rPr>
                <w:rFonts w:ascii="Calibri" w:hAnsi="Calibri"/>
                <w:color w:val="000000"/>
                <w:kern w:val="2"/>
                <w:sz w:val="21"/>
                <w:highlight w:val="none"/>
              </w:rPr>
              <w:t>联系人：</w:t>
            </w:r>
            <w:r>
              <w:rPr>
                <w:rFonts w:hint="eastAsia" w:ascii="Calibri" w:hAnsi="Calibri"/>
                <w:color w:val="000000"/>
                <w:kern w:val="2"/>
                <w:sz w:val="21"/>
                <w:highlight w:val="none"/>
              </w:rPr>
              <w:t>胡磊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199" w:type="dxa"/>
            <w:tcMar>
              <w:top w:w="0" w:type="dxa"/>
              <w:left w:w="57" w:type="dxa"/>
              <w:bottom w:w="0" w:type="dxa"/>
              <w:right w:w="57" w:type="dxa"/>
            </w:tcMar>
            <w:vAlign w:val="center"/>
          </w:tcPr>
          <w:p>
            <w:pPr>
              <w:keepNext w:val="0"/>
              <w:keepLines w:val="0"/>
              <w:pageBreakBefore w:val="0"/>
              <w:widowControl/>
              <w:suppressLineNumbers w:val="0"/>
              <w:wordWrap/>
              <w:topLinePunct w:val="0"/>
              <w:autoSpaceDE/>
              <w:autoSpaceDN/>
              <w:bidi w:val="0"/>
              <w:snapToGrid w:val="0"/>
              <w:spacing w:before="0" w:beforeAutospacing="0" w:after="0" w:afterAutospacing="0" w:line="276" w:lineRule="auto"/>
              <w:ind w:left="0" w:leftChars="0" w:right="0" w:rightChars="0"/>
              <w:jc w:val="both"/>
              <w:textAlignment w:val="auto"/>
              <w:rPr>
                <w:rFonts w:hint="default" w:ascii="Calibri" w:hAnsi="Calibri" w:eastAsia="宋体" w:cs="Times New Roman"/>
                <w:color w:val="000000"/>
                <w:kern w:val="2"/>
                <w:sz w:val="21"/>
                <w:szCs w:val="22"/>
                <w:highlight w:val="none"/>
                <w:lang w:val="en-US" w:eastAsia="zh-CN" w:bidi="ar-SA"/>
              </w:rPr>
            </w:pPr>
            <w:r>
              <w:rPr>
                <w:rFonts w:ascii="Calibri" w:hAnsi="Calibri" w:cs="Times New Roman"/>
                <w:color w:val="000000"/>
                <w:kern w:val="2"/>
                <w:sz w:val="21"/>
                <w:highlight w:val="none"/>
              </w:rPr>
              <w:t>电话：</w:t>
            </w:r>
            <w:r>
              <w:rPr>
                <w:rFonts w:hint="eastAsia" w:ascii="Calibri" w:hAnsi="Calibri" w:cs="Times New Roman"/>
                <w:color w:val="000000"/>
                <w:kern w:val="2"/>
                <w:sz w:val="21"/>
                <w:highlight w:val="none"/>
                <w:lang w:val="en-US" w:eastAsia="zh-CN"/>
              </w:rPr>
              <w:t>0</w:t>
            </w:r>
            <w:r>
              <w:rPr>
                <w:rFonts w:hint="eastAsia" w:ascii="Calibri" w:hAnsi="Calibri" w:cs="Times New Roman"/>
                <w:color w:val="000000"/>
                <w:kern w:val="2"/>
                <w:sz w:val="21"/>
                <w:highlight w:val="none"/>
              </w:rPr>
              <w:t>21-68341019</w:t>
            </w:r>
          </w:p>
        </w:tc>
        <w:tc>
          <w:tcPr>
            <w:tcW w:w="4784" w:type="dxa"/>
            <w:tcMar>
              <w:top w:w="0" w:type="dxa"/>
              <w:left w:w="57" w:type="dxa"/>
              <w:bottom w:w="0" w:type="dxa"/>
              <w:right w:w="57" w:type="dxa"/>
            </w:tcMar>
            <w:vAlign w:val="center"/>
          </w:tcPr>
          <w:p>
            <w:pPr>
              <w:snapToGrid w:val="0"/>
              <w:jc w:val="both"/>
              <w:rPr>
                <w:rFonts w:ascii="Calibri" w:hAnsi="Calibri"/>
                <w:color w:val="000000"/>
                <w:kern w:val="2"/>
                <w:sz w:val="21"/>
                <w:highlight w:val="none"/>
              </w:rPr>
            </w:pPr>
            <w:r>
              <w:rPr>
                <w:rFonts w:ascii="Calibri" w:hAnsi="Calibri"/>
                <w:color w:val="000000"/>
                <w:kern w:val="2"/>
                <w:sz w:val="21"/>
                <w:highlight w:val="none"/>
              </w:rPr>
              <w:t>电话：</w:t>
            </w:r>
            <w:r>
              <w:rPr>
                <w:rFonts w:hint="eastAsia" w:ascii="Calibri" w:hAnsi="Calibri"/>
                <w:color w:val="000000"/>
                <w:kern w:val="2"/>
                <w:sz w:val="21"/>
                <w:highlight w:val="none"/>
              </w:rPr>
              <w:t>021-63231875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199" w:type="dxa"/>
            <w:tcMar>
              <w:top w:w="0" w:type="dxa"/>
              <w:left w:w="57" w:type="dxa"/>
              <w:bottom w:w="0" w:type="dxa"/>
              <w:right w:w="57" w:type="dxa"/>
            </w:tcMar>
            <w:vAlign w:val="center"/>
          </w:tcPr>
          <w:p>
            <w:pPr>
              <w:snapToGrid w:val="0"/>
              <w:jc w:val="both"/>
              <w:rPr>
                <w:rFonts w:ascii="Calibri" w:hAnsi="Calibri"/>
                <w:color w:val="000000"/>
                <w:kern w:val="2"/>
                <w:sz w:val="21"/>
                <w:highlight w:val="none"/>
              </w:rPr>
            </w:pPr>
            <w:r>
              <w:rPr>
                <w:rFonts w:ascii="Calibri" w:hAnsi="Calibri"/>
                <w:color w:val="000000"/>
                <w:kern w:val="2"/>
                <w:sz w:val="21"/>
                <w:highlight w:val="none"/>
              </w:rPr>
              <w:t>电子邮件：</w:t>
            </w:r>
            <w:r>
              <w:rPr>
                <w:rFonts w:hint="eastAsia" w:ascii="Calibri" w:hAnsi="Calibri"/>
                <w:color w:val="000000"/>
                <w:kern w:val="2"/>
                <w:sz w:val="21"/>
                <w:highlight w:val="none"/>
              </w:rPr>
              <w:t>/</w:t>
            </w:r>
          </w:p>
        </w:tc>
        <w:tc>
          <w:tcPr>
            <w:tcW w:w="4784" w:type="dxa"/>
            <w:tcMar>
              <w:top w:w="0" w:type="dxa"/>
              <w:left w:w="57" w:type="dxa"/>
              <w:bottom w:w="0" w:type="dxa"/>
              <w:right w:w="57" w:type="dxa"/>
            </w:tcMar>
            <w:vAlign w:val="center"/>
          </w:tcPr>
          <w:p>
            <w:pPr>
              <w:snapToGrid w:val="0"/>
              <w:jc w:val="both"/>
              <w:rPr>
                <w:rFonts w:ascii="Calibri" w:hAnsi="Calibri"/>
                <w:color w:val="000000"/>
                <w:kern w:val="2"/>
                <w:sz w:val="21"/>
                <w:highlight w:val="none"/>
              </w:rPr>
            </w:pPr>
            <w:r>
              <w:rPr>
                <w:rFonts w:ascii="Calibri" w:hAnsi="Calibri"/>
                <w:color w:val="000000"/>
                <w:kern w:val="2"/>
                <w:sz w:val="21"/>
                <w:highlight w:val="none"/>
              </w:rPr>
              <w:t>电子邮件：</w:t>
            </w:r>
            <w:r>
              <w:rPr>
                <w:rFonts w:hint="eastAsia" w:ascii="Calibri" w:hAnsi="Calibri"/>
                <w:color w:val="000000"/>
                <w:kern w:val="2"/>
                <w:sz w:val="21"/>
                <w:highlight w:val="none"/>
              </w:rPr>
              <w:t>hulei@spiaie.com</w:t>
            </w:r>
          </w:p>
        </w:tc>
      </w:tr>
    </w:tbl>
    <w:p>
      <w:pPr>
        <w:snapToGrid w:val="0"/>
        <w:jc w:val="both"/>
        <w:rPr>
          <w:color w:val="000000"/>
          <w:highlight w:val="none"/>
        </w:rPr>
      </w:pPr>
    </w:p>
    <w:p>
      <w:pPr>
        <w:snapToGrid w:val="0"/>
        <w:jc w:val="both"/>
        <w:rPr>
          <w:color w:val="000000"/>
          <w:sz w:val="24"/>
          <w:szCs w:val="24"/>
          <w:highlight w:val="none"/>
        </w:rPr>
      </w:pPr>
      <w:r>
        <w:rPr>
          <w:rFonts w:hint="eastAsia"/>
          <w:color w:val="000000"/>
          <w:sz w:val="24"/>
          <w:szCs w:val="24"/>
          <w:highlight w:val="none"/>
        </w:rPr>
        <w:t>附：招标文件邮购流程</w:t>
      </w:r>
    </w:p>
    <w:p>
      <w:pPr>
        <w:snapToGrid w:val="0"/>
        <w:ind w:right="-44" w:rightChars="-20"/>
        <w:jc w:val="both"/>
        <w:rPr>
          <w:color w:val="000000"/>
          <w:sz w:val="24"/>
          <w:szCs w:val="24"/>
          <w:highlight w:val="none"/>
        </w:rPr>
      </w:pPr>
      <w:r>
        <w:rPr>
          <w:rFonts w:hint="eastAsia"/>
          <w:color w:val="000000"/>
          <w:sz w:val="24"/>
          <w:szCs w:val="24"/>
          <w:highlight w:val="none"/>
        </w:rPr>
        <w:t>（1）领购人以电子邮件形式明确告知需领购的招标文件（需告知准确项目名称或招标编号），邮件发送至</w:t>
      </w:r>
      <w:r>
        <w:rPr>
          <w:rFonts w:hint="eastAsia" w:ascii="Calibri" w:hAnsi="Calibri"/>
          <w:color w:val="000000"/>
          <w:kern w:val="2"/>
          <w:sz w:val="24"/>
          <w:szCs w:val="28"/>
          <w:highlight w:val="none"/>
          <w:u w:val="single"/>
        </w:rPr>
        <w:t>zhaocai2@spiaie.com</w:t>
      </w:r>
      <w:r>
        <w:rPr>
          <w:rFonts w:hint="eastAsia"/>
          <w:color w:val="000000"/>
          <w:sz w:val="24"/>
          <w:szCs w:val="24"/>
          <w:highlight w:val="none"/>
        </w:rPr>
        <w:t>；</w:t>
      </w:r>
    </w:p>
    <w:p>
      <w:pPr>
        <w:snapToGrid w:val="0"/>
        <w:jc w:val="both"/>
        <w:rPr>
          <w:color w:val="000000"/>
          <w:sz w:val="24"/>
          <w:szCs w:val="24"/>
          <w:highlight w:val="none"/>
        </w:rPr>
      </w:pPr>
      <w:r>
        <w:rPr>
          <w:rFonts w:hint="eastAsia"/>
          <w:color w:val="000000"/>
          <w:sz w:val="24"/>
          <w:szCs w:val="24"/>
          <w:highlight w:val="none"/>
        </w:rPr>
        <w:t>（2）招标机构以电子邮件提供银行账号及《招标文件领购登记表》（样张）；</w:t>
      </w:r>
    </w:p>
    <w:p>
      <w:pPr>
        <w:snapToGrid w:val="0"/>
        <w:jc w:val="both"/>
        <w:rPr>
          <w:color w:val="000000"/>
          <w:sz w:val="24"/>
          <w:szCs w:val="24"/>
          <w:highlight w:val="none"/>
        </w:rPr>
      </w:pPr>
      <w:r>
        <w:rPr>
          <w:rFonts w:hint="eastAsia"/>
          <w:color w:val="000000"/>
          <w:sz w:val="24"/>
          <w:szCs w:val="24"/>
          <w:highlight w:val="none"/>
        </w:rPr>
        <w:t>（3）领购人将购买招标文件的款项汇入招标机构银行账号，并将汇款凭证、发票开票信息、盖章的营业执照复印件以及填写完毕的《招标文件领购登记表》（WORD文件及加盖领购人公章的PDF扫描文件）以电子邮件形式发送招标机构；</w:t>
      </w:r>
    </w:p>
    <w:p>
      <w:pPr>
        <w:snapToGrid w:val="0"/>
        <w:jc w:val="both"/>
        <w:rPr>
          <w:color w:val="000000"/>
          <w:sz w:val="24"/>
          <w:szCs w:val="24"/>
          <w:highlight w:val="none"/>
        </w:rPr>
      </w:pPr>
      <w:r>
        <w:rPr>
          <w:rFonts w:hint="eastAsia"/>
          <w:color w:val="000000"/>
          <w:sz w:val="24"/>
          <w:szCs w:val="24"/>
          <w:highlight w:val="none"/>
        </w:rPr>
        <w:t>（4）招标机构确认无误后，按《招标文件领购登记表》中登记的联系方式发送招标文件及发票。</w:t>
      </w:r>
    </w:p>
    <w:p>
      <w:pPr>
        <w:snapToGrid w:val="0"/>
        <w:jc w:val="both"/>
        <w:rPr>
          <w:color w:val="000000"/>
          <w:highlight w:val="none"/>
        </w:rPr>
      </w:pPr>
    </w:p>
    <w:p>
      <w:pPr>
        <w:snapToGrid w:val="0"/>
        <w:jc w:val="right"/>
        <w:rPr>
          <w:rFonts w:ascii="宋体" w:hAnsi="宋体"/>
          <w:color w:val="000000"/>
          <w:szCs w:val="21"/>
          <w:highlight w:val="none"/>
        </w:rPr>
      </w:pPr>
      <w:r>
        <w:rPr>
          <w:rFonts w:hint="eastAsia" w:ascii="宋体" w:hAnsi="宋体"/>
          <w:color w:val="000000"/>
          <w:sz w:val="24"/>
          <w:szCs w:val="24"/>
          <w:highlight w:val="none"/>
        </w:rPr>
        <w:t>2023年</w:t>
      </w:r>
      <w:r>
        <w:rPr>
          <w:rFonts w:hint="eastAsia" w:ascii="宋体" w:hAnsi="宋体"/>
          <w:color w:val="000000"/>
          <w:sz w:val="24"/>
          <w:szCs w:val="24"/>
          <w:highlight w:val="none"/>
          <w:lang w:val="en-US" w:eastAsia="zh-CN"/>
        </w:rPr>
        <w:t>10</w:t>
      </w:r>
      <w:r>
        <w:rPr>
          <w:rFonts w:hint="eastAsia" w:ascii="宋体" w:hAnsi="宋体"/>
          <w:color w:val="000000"/>
          <w:sz w:val="24"/>
          <w:szCs w:val="24"/>
          <w:highlight w:val="none"/>
        </w:rPr>
        <w:t>月</w:t>
      </w:r>
      <w:r>
        <w:rPr>
          <w:rFonts w:hint="eastAsia" w:ascii="宋体" w:hAnsi="宋体"/>
          <w:color w:val="000000"/>
          <w:sz w:val="24"/>
          <w:szCs w:val="24"/>
          <w:highlight w:val="none"/>
          <w:lang w:val="en-US" w:eastAsia="zh-CN"/>
        </w:rPr>
        <w:t>7</w:t>
      </w:r>
      <w:r>
        <w:rPr>
          <w:rFonts w:hint="eastAsia" w:ascii="宋体" w:hAnsi="宋体"/>
          <w:color w:val="000000"/>
          <w:sz w:val="24"/>
          <w:szCs w:val="24"/>
          <w:highlight w:val="none"/>
        </w:rPr>
        <w:t>日</w:t>
      </w:r>
    </w:p>
    <w:p/>
    <w:sectPr>
      <w:pgSz w:w="11906" w:h="16838"/>
      <w:pgMar w:top="1000" w:right="1800" w:bottom="87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567183"/>
    <w:multiLevelType w:val="singleLevel"/>
    <w:tmpl w:val="25567183"/>
    <w:lvl w:ilvl="0" w:tentative="0">
      <w:start w:val="1"/>
      <w:numFmt w:val="decimal"/>
      <w:lvlText w:val="(%1)"/>
      <w:lvlJc w:val="left"/>
      <w:pPr>
        <w:ind w:left="425" w:hanging="425"/>
      </w:pPr>
      <w:rPr>
        <w:rFonts w:hint="default" w:ascii="Times New Roman" w:hAnsi="Times New Roman" w:cs="Times New Roman"/>
      </w:rPr>
    </w:lvl>
  </w:abstractNum>
  <w:abstractNum w:abstractNumId="1">
    <w:nsid w:val="42BA37DB"/>
    <w:multiLevelType w:val="singleLevel"/>
    <w:tmpl w:val="42BA37DB"/>
    <w:lvl w:ilvl="0" w:tentative="0">
      <w:start w:val="8"/>
      <w:numFmt w:val="decimal"/>
      <w:suff w:val="space"/>
      <w:lvlText w:val="%1."/>
      <w:lvlJc w:val="left"/>
    </w:lvl>
  </w:abstractNum>
  <w:abstractNum w:abstractNumId="2">
    <w:nsid w:val="4B593EF8"/>
    <w:multiLevelType w:val="singleLevel"/>
    <w:tmpl w:val="4B593EF8"/>
    <w:lvl w:ilvl="0" w:tentative="0">
      <w:start w:val="1"/>
      <w:numFmt w:val="decimal"/>
      <w:lvlText w:val="(%1)"/>
      <w:lvlJc w:val="left"/>
      <w:pPr>
        <w:ind w:left="425" w:hanging="425"/>
      </w:pPr>
      <w:rPr>
        <w:rFonts w:hint="default"/>
      </w:rPr>
    </w:lvl>
  </w:abstractNum>
  <w:abstractNum w:abstractNumId="3">
    <w:nsid w:val="7AF82D66"/>
    <w:multiLevelType w:val="multilevel"/>
    <w:tmpl w:val="7AF82D66"/>
    <w:lvl w:ilvl="0" w:tentative="0">
      <w:start w:val="2"/>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1"/>
  <w:bordersDoNotSurroundFooter w:val="1"/>
  <w:trackRevisions w:val="1"/>
  <w:documentProtection w:edit="trackedChanges" w:enforcement="1" w:cryptProviderType="rsaFull" w:cryptAlgorithmClass="hash" w:cryptAlgorithmType="typeAny" w:cryptAlgorithmSid="4" w:cryptSpinCount="0" w:hash="bzuIO/emAbk/xwsEBKvPSNqXAe8=" w:salt="9otB4VaCGR/JkhVm6oevWg=="/>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2NzA0NGM4NjQ3OTA4NWFmOTA1NjgxOGRmZGVmNjEifQ=="/>
  </w:docVars>
  <w:rsids>
    <w:rsidRoot w:val="00000000"/>
    <w:rsid w:val="13207980"/>
    <w:rsid w:val="13493996"/>
    <w:rsid w:val="33263C60"/>
    <w:rsid w:val="50C404EA"/>
    <w:rsid w:val="60FB0D45"/>
    <w:rsid w:val="63F7386F"/>
    <w:rsid w:val="681D0D04"/>
    <w:rsid w:val="7E9D5C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2"/>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正文1"/>
    <w:qFormat/>
    <w:uiPriority w:val="0"/>
    <w:pPr>
      <w:jc w:val="both"/>
    </w:pPr>
    <w:rPr>
      <w:rFonts w:ascii="Calibri" w:hAnsi="Calibri" w:eastAsia="宋体" w:cs="宋体"/>
      <w:kern w:val="2"/>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2102</Words>
  <Characters>2296</Characters>
  <Lines>0</Lines>
  <Paragraphs>0</Paragraphs>
  <TotalTime>1</TotalTime>
  <ScaleCrop>false</ScaleCrop>
  <LinksUpToDate>false</LinksUpToDate>
  <CharactersWithSpaces>2305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2023-10-07T02:30:00Z</dcterms:created>
  <dc:creator>HL</dc:creator>
  <cp:lastModifiedBy>王梦雨</cp:lastModifiedBy>
  <dcterms:modified xsi:type="dcterms:W3CDTF">2023-10-08T06:09:30Z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47A67C5EFC964BACB254915195E48BA8_13</vt:lpwstr>
  </property>
  <property fmtid="{D5CDD505-2E9C-101B-9397-08002B2CF9AE}" pid="4" name="Cookie">
    <vt:lpwstr>indi_locale=zh-cn; LtpaToken2=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; LtpaToken=Dxa0tbkB1yxfuskj/QLDh3+VqsSH6rbjTSmouEhb6id8gVvyD2zWfXN4IIwvnTSXPT5OSgLFcnufGsNxm0ElQKwPiQdt+o8FKcHMqe7rRbHzHyqv8A7tJqhwnmF7o7oZV9T6JZRVIIJbCQcgROXaqbMJbAkATen6ID7gBBpZx1CKaWtZGXRbIc4zCm2GU+A4VWg4ZaRzvwvt2AJLlw+884kuNH+G7dTgC/GNiOLJZjvcfl4qSi4GxIRoleoRwoR3EUOj9+LfdJNlxZORQheBZOuXNFgKj1Mzk13+4RYl59H7G9jc79di9Ut2ucKh98fOFZv9l8C4zSmnM8z1Zhi7SX1lF5oc0scqwv0um6fcxlhMdcgm6GsrPlhaxXSiSp3c; SessionID=A435B82C6ADCB9205FABFA9BBDED4D61104EAD26</vt:lpwstr>
  </property>
  <property fmtid="{D5CDD505-2E9C-101B-9397-08002B2CF9AE}" pid="5" name="GRCUploadParam">
    <vt:lpwstr/>
  </property>
</Properties>
</file>